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F06" w:rsidRPr="000C115D" w:rsidRDefault="00352124" w:rsidP="000C115D">
      <w:pPr>
        <w:rPr>
          <w:rFonts w:ascii="Calibri" w:hAnsi="Calibri" w:cs="Calibri"/>
          <w:b/>
          <w:bCs/>
          <w:color w:val="000000"/>
          <w:sz w:val="28"/>
          <w:szCs w:val="23"/>
          <w:lang w:val="es-AR"/>
        </w:rPr>
      </w:pPr>
      <w:bookmarkStart w:id="0" w:name="_GoBack"/>
      <w:bookmarkEnd w:id="0"/>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-948138</wp:posOffset>
            </wp:positionV>
            <wp:extent cx="7585200" cy="10720800"/>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s y condiciones - portada-02.png"/>
                    <pic:cNvPicPr/>
                  </pic:nvPicPr>
                  <pic:blipFill>
                    <a:blip r:embed="rId8">
                      <a:extLst>
                        <a:ext uri="{28A0092B-C50C-407E-A947-70E740481C1C}">
                          <a14:useLocalDpi xmlns:a14="http://schemas.microsoft.com/office/drawing/2010/main" val="0"/>
                        </a:ext>
                      </a:extLst>
                    </a:blip>
                    <a:stretch>
                      <a:fillRect/>
                    </a:stretch>
                  </pic:blipFill>
                  <pic:spPr>
                    <a:xfrm>
                      <a:off x="0" y="0"/>
                      <a:ext cx="7585200" cy="10720800"/>
                    </a:xfrm>
                    <a:prstGeom prst="rect">
                      <a:avLst/>
                    </a:prstGeom>
                  </pic:spPr>
                </pic:pic>
              </a:graphicData>
            </a:graphic>
            <wp14:sizeRelH relativeFrom="page">
              <wp14:pctWidth>0</wp14:pctWidth>
            </wp14:sizeRelH>
            <wp14:sizeRelV relativeFrom="page">
              <wp14:pctHeight>0</wp14:pctHeight>
            </wp14:sizeRelV>
          </wp:anchor>
        </w:drawing>
      </w:r>
      <w:sdt>
        <w:sdtPr>
          <w:id w:val="1926454566"/>
          <w:docPartObj>
            <w:docPartGallery w:val="Cover Pages"/>
            <w:docPartUnique/>
          </w:docPartObj>
        </w:sdtPr>
        <w:sdtEndPr>
          <w:rPr>
            <w:b/>
            <w:bCs/>
            <w:sz w:val="28"/>
            <w:szCs w:val="23"/>
            <w:lang w:val="es-AR"/>
          </w:rPr>
        </w:sdtEndPr>
        <w:sdtContent>
          <w:r w:rsidR="00A11977">
            <w:rPr>
              <w:b/>
              <w:bCs/>
              <w:sz w:val="28"/>
              <w:szCs w:val="23"/>
              <w:lang w:val="es-AR"/>
            </w:rPr>
            <w:br w:type="page"/>
          </w:r>
        </w:sdtContent>
      </w:sdt>
      <w:r w:rsidR="007D29F9">
        <w:rPr>
          <w:b/>
          <w:bCs/>
          <w:sz w:val="28"/>
          <w:szCs w:val="23"/>
          <w:lang w:val="es-AR"/>
        </w:rPr>
        <w:t xml:space="preserve">1) </w:t>
      </w:r>
      <w:r w:rsidR="001C6F06" w:rsidRPr="003C6C02">
        <w:rPr>
          <w:b/>
          <w:bCs/>
          <w:sz w:val="28"/>
          <w:szCs w:val="23"/>
          <w:lang w:val="es-AR"/>
        </w:rPr>
        <w:t xml:space="preserve">Acerca del Concurso </w:t>
      </w:r>
    </w:p>
    <w:p w:rsidR="001C6F06" w:rsidRPr="001C6F06" w:rsidRDefault="001C6F06" w:rsidP="001C6F06">
      <w:pPr>
        <w:pStyle w:val="Default"/>
        <w:rPr>
          <w:sz w:val="23"/>
          <w:szCs w:val="23"/>
          <w:lang w:val="es-AR"/>
        </w:rPr>
      </w:pPr>
      <w:r w:rsidRPr="001C6F06">
        <w:rPr>
          <w:sz w:val="23"/>
          <w:szCs w:val="23"/>
          <w:lang w:val="es-AR"/>
        </w:rPr>
        <w:t xml:space="preserve">El objetivo del concurso Estrella del Sur es incentivar la innovación de envases y embalajes en Argentina, reconociendo los esfuerzos de la industria del packaging, sus diseñadores y sus técnicos. Los envases premiados gozan de gran prestigio y difusión. Son exhibidos en Pack Expo de Estados Unidos en una muestra específica de envases innovadores por cortesía del Instituto Argentino del Envase y son publicados en la prensa especializada. Asimismo, los envases ganadores tienen la oportunidad exclusiva de representar al país en el certamen más importante de la industria, los premios WorldStar organizados por la Organización Mundial del Packaging (WPO). </w:t>
      </w:r>
    </w:p>
    <w:p w:rsidR="001C6F06" w:rsidRDefault="001C6F06" w:rsidP="001C6F06">
      <w:pPr>
        <w:pStyle w:val="Default"/>
        <w:rPr>
          <w:sz w:val="23"/>
          <w:szCs w:val="23"/>
          <w:lang w:val="es-AR"/>
        </w:rPr>
      </w:pPr>
      <w:r w:rsidRPr="001C6F06">
        <w:rPr>
          <w:sz w:val="23"/>
          <w:szCs w:val="23"/>
          <w:lang w:val="es-AR"/>
        </w:rPr>
        <w:t xml:space="preserve">Entre todos los envases galardonados se elige el ganador del premio Estrella del Sur de Oro. </w:t>
      </w:r>
    </w:p>
    <w:p w:rsidR="007D29F9" w:rsidRDefault="007D29F9" w:rsidP="001C6F06">
      <w:pPr>
        <w:pStyle w:val="Default"/>
        <w:rPr>
          <w:sz w:val="23"/>
          <w:szCs w:val="23"/>
          <w:lang w:val="es-AR"/>
        </w:rPr>
      </w:pPr>
    </w:p>
    <w:p w:rsidR="001C6F06" w:rsidRPr="001C6F06" w:rsidRDefault="001C6F06" w:rsidP="001C6F06">
      <w:pPr>
        <w:pStyle w:val="Default"/>
        <w:rPr>
          <w:sz w:val="23"/>
          <w:szCs w:val="23"/>
          <w:lang w:val="es-AR"/>
        </w:rPr>
      </w:pPr>
    </w:p>
    <w:p w:rsidR="001C6F06" w:rsidRDefault="003C6C02" w:rsidP="001C6F06">
      <w:pPr>
        <w:pStyle w:val="Default"/>
        <w:rPr>
          <w:b/>
          <w:bCs/>
          <w:sz w:val="28"/>
          <w:szCs w:val="23"/>
          <w:lang w:val="es-AR"/>
        </w:rPr>
      </w:pPr>
      <w:r>
        <w:rPr>
          <w:b/>
          <w:bCs/>
          <w:sz w:val="28"/>
          <w:szCs w:val="23"/>
          <w:lang w:val="es-AR"/>
        </w:rPr>
        <w:t>2) Condiciones de Ingreso</w:t>
      </w:r>
    </w:p>
    <w:p w:rsidR="007D29F9" w:rsidRPr="003C6C02" w:rsidRDefault="007D29F9" w:rsidP="001C6F06">
      <w:pPr>
        <w:pStyle w:val="Default"/>
        <w:rPr>
          <w:sz w:val="28"/>
          <w:szCs w:val="23"/>
          <w:lang w:val="es-AR"/>
        </w:rPr>
      </w:pPr>
    </w:p>
    <w:p w:rsidR="001C6F06" w:rsidRPr="001C6F06" w:rsidRDefault="001C6F06" w:rsidP="007D29F9">
      <w:pPr>
        <w:pStyle w:val="Default"/>
        <w:numPr>
          <w:ilvl w:val="0"/>
          <w:numId w:val="6"/>
        </w:numPr>
        <w:spacing w:after="240"/>
        <w:ind w:left="426"/>
        <w:rPr>
          <w:sz w:val="23"/>
          <w:szCs w:val="23"/>
          <w:lang w:val="es-AR"/>
        </w:rPr>
      </w:pPr>
      <w:r w:rsidRPr="001C6F06">
        <w:rPr>
          <w:sz w:val="23"/>
          <w:szCs w:val="23"/>
          <w:lang w:val="es-AR"/>
        </w:rPr>
        <w:t xml:space="preserve">El concurso está abierto a empresas y estudios de diseño que quieran presentar cualquier envase o embalaje fabricado y comercializado en nuestro país. Pueden presentarlos desde el 1 de octubre de 2022 y hasta el 31 de marzo de 2024. </w:t>
      </w:r>
    </w:p>
    <w:p w:rsidR="001C6F06" w:rsidRPr="001C6F06" w:rsidRDefault="001C6F06" w:rsidP="007D29F9">
      <w:pPr>
        <w:pStyle w:val="Default"/>
        <w:numPr>
          <w:ilvl w:val="0"/>
          <w:numId w:val="6"/>
        </w:numPr>
        <w:spacing w:after="240"/>
        <w:ind w:left="426"/>
        <w:rPr>
          <w:sz w:val="23"/>
          <w:szCs w:val="23"/>
          <w:lang w:val="es-AR"/>
        </w:rPr>
      </w:pPr>
      <w:r w:rsidRPr="001C6F06">
        <w:rPr>
          <w:sz w:val="23"/>
          <w:szCs w:val="23"/>
          <w:lang w:val="es-AR"/>
        </w:rPr>
        <w:t xml:space="preserve">Cada empresa podrá presentar un máximo de 5 (cinco) envases en total o 3 (tres) por unidad de negocio. </w:t>
      </w:r>
    </w:p>
    <w:p w:rsidR="001C6F06" w:rsidRPr="001C6F06" w:rsidRDefault="001C6F06" w:rsidP="007D29F9">
      <w:pPr>
        <w:pStyle w:val="Default"/>
        <w:numPr>
          <w:ilvl w:val="0"/>
          <w:numId w:val="6"/>
        </w:numPr>
        <w:spacing w:after="240"/>
        <w:ind w:left="426"/>
        <w:rPr>
          <w:sz w:val="23"/>
          <w:szCs w:val="23"/>
          <w:lang w:val="es-AR"/>
        </w:rPr>
      </w:pPr>
      <w:r w:rsidRPr="001C6F06">
        <w:rPr>
          <w:sz w:val="23"/>
          <w:szCs w:val="23"/>
          <w:lang w:val="es-AR"/>
        </w:rPr>
        <w:t xml:space="preserve">El envase puede ser presentado por el fabricante, usuario o diseñador, en forma individual o en conjunto. </w:t>
      </w:r>
    </w:p>
    <w:p w:rsidR="001C6F06" w:rsidRPr="001C6F06" w:rsidRDefault="001C6F06" w:rsidP="007D29F9">
      <w:pPr>
        <w:pStyle w:val="Default"/>
        <w:numPr>
          <w:ilvl w:val="0"/>
          <w:numId w:val="6"/>
        </w:numPr>
        <w:spacing w:after="240"/>
        <w:ind w:left="426"/>
        <w:rPr>
          <w:sz w:val="23"/>
          <w:szCs w:val="23"/>
          <w:lang w:val="es-AR"/>
        </w:rPr>
      </w:pPr>
      <w:r w:rsidRPr="001C6F06">
        <w:rPr>
          <w:sz w:val="23"/>
          <w:szCs w:val="23"/>
          <w:lang w:val="es-AR"/>
        </w:rPr>
        <w:t xml:space="preserve">La empresa que presenta el envase deberá contar con la aprobación expresa de las otras partes involucradas. </w:t>
      </w:r>
    </w:p>
    <w:p w:rsidR="000F37ED" w:rsidRPr="00DE20DC" w:rsidRDefault="001C6F06" w:rsidP="007D29F9">
      <w:pPr>
        <w:pStyle w:val="Prrafodelista"/>
        <w:numPr>
          <w:ilvl w:val="0"/>
          <w:numId w:val="6"/>
        </w:numPr>
        <w:spacing w:after="240" w:line="240" w:lineRule="auto"/>
        <w:ind w:left="426"/>
        <w:rPr>
          <w:sz w:val="23"/>
          <w:szCs w:val="23"/>
        </w:rPr>
      </w:pPr>
      <w:r w:rsidRPr="00DE20DC">
        <w:rPr>
          <w:sz w:val="23"/>
          <w:szCs w:val="23"/>
        </w:rPr>
        <w:t xml:space="preserve">La </w:t>
      </w:r>
      <w:r w:rsidRPr="007D29F9">
        <w:rPr>
          <w:sz w:val="23"/>
          <w:szCs w:val="23"/>
          <w:lang w:val="es-AR"/>
        </w:rPr>
        <w:t>inscripción es gratuita.</w:t>
      </w:r>
    </w:p>
    <w:p w:rsidR="001C6F06" w:rsidRDefault="001C6F06" w:rsidP="001C6F06">
      <w:pPr>
        <w:rPr>
          <w:sz w:val="23"/>
          <w:szCs w:val="23"/>
        </w:rPr>
      </w:pPr>
    </w:p>
    <w:p w:rsidR="007D29F9" w:rsidRPr="007D29F9" w:rsidRDefault="001C6F06" w:rsidP="001C6F06">
      <w:pPr>
        <w:pStyle w:val="Default"/>
        <w:rPr>
          <w:b/>
          <w:bCs/>
          <w:sz w:val="28"/>
          <w:szCs w:val="23"/>
          <w:lang w:val="es-AR"/>
        </w:rPr>
      </w:pPr>
      <w:r w:rsidRPr="003C6C02">
        <w:rPr>
          <w:b/>
          <w:bCs/>
          <w:sz w:val="28"/>
          <w:szCs w:val="23"/>
          <w:lang w:val="es-AR"/>
        </w:rPr>
        <w:t xml:space="preserve">3) Material Solicitado </w:t>
      </w:r>
    </w:p>
    <w:p w:rsidR="007D29F9" w:rsidRPr="001C6F06" w:rsidRDefault="001C6F06" w:rsidP="001C6F06">
      <w:pPr>
        <w:pStyle w:val="Default"/>
        <w:rPr>
          <w:sz w:val="23"/>
          <w:szCs w:val="23"/>
          <w:lang w:val="es-AR"/>
        </w:rPr>
      </w:pPr>
      <w:r w:rsidRPr="001C6F06">
        <w:rPr>
          <w:sz w:val="23"/>
          <w:szCs w:val="23"/>
          <w:lang w:val="es-AR"/>
        </w:rPr>
        <w:t xml:space="preserve">Para participar del concurso, se solicitan: </w:t>
      </w:r>
    </w:p>
    <w:p w:rsidR="001C6F06" w:rsidRPr="001C6F06" w:rsidRDefault="001C6F06" w:rsidP="0025138E">
      <w:pPr>
        <w:pStyle w:val="Default"/>
        <w:numPr>
          <w:ilvl w:val="0"/>
          <w:numId w:val="14"/>
        </w:numPr>
        <w:spacing w:before="240"/>
        <w:ind w:left="426"/>
        <w:rPr>
          <w:sz w:val="23"/>
          <w:szCs w:val="23"/>
          <w:lang w:val="es-AR"/>
        </w:rPr>
      </w:pPr>
      <w:r w:rsidRPr="001C6F06">
        <w:rPr>
          <w:sz w:val="23"/>
          <w:szCs w:val="23"/>
          <w:lang w:val="es-AR"/>
        </w:rPr>
        <w:t xml:space="preserve">Dos muestras físicas de cada envase participante en su formato de comercialización; </w:t>
      </w:r>
    </w:p>
    <w:p w:rsidR="001C6F06" w:rsidRPr="001C6F06" w:rsidRDefault="001C6F06" w:rsidP="0025138E">
      <w:pPr>
        <w:pStyle w:val="Default"/>
        <w:numPr>
          <w:ilvl w:val="0"/>
          <w:numId w:val="14"/>
        </w:numPr>
        <w:spacing w:before="240"/>
        <w:ind w:left="426"/>
        <w:rPr>
          <w:sz w:val="23"/>
          <w:szCs w:val="23"/>
          <w:lang w:val="es-AR"/>
        </w:rPr>
      </w:pPr>
      <w:r w:rsidRPr="001C6F06">
        <w:rPr>
          <w:sz w:val="23"/>
          <w:szCs w:val="23"/>
          <w:lang w:val="es-AR"/>
        </w:rPr>
        <w:t xml:space="preserve">Descripción de cada envase considerando los criterios de evaluación según el modelo; </w:t>
      </w:r>
    </w:p>
    <w:p w:rsidR="001C6F06" w:rsidRPr="001C6F06" w:rsidRDefault="001C6F06" w:rsidP="0025138E">
      <w:pPr>
        <w:pStyle w:val="Default"/>
        <w:numPr>
          <w:ilvl w:val="0"/>
          <w:numId w:val="14"/>
        </w:numPr>
        <w:spacing w:before="240"/>
        <w:ind w:left="426"/>
        <w:rPr>
          <w:sz w:val="23"/>
          <w:szCs w:val="23"/>
          <w:lang w:val="es-AR"/>
        </w:rPr>
      </w:pPr>
      <w:r w:rsidRPr="001C6F06">
        <w:rPr>
          <w:sz w:val="23"/>
          <w:szCs w:val="23"/>
          <w:lang w:val="es-AR"/>
        </w:rPr>
        <w:t xml:space="preserve">Fotos en baja y en alta definición del/los envase/s; </w:t>
      </w:r>
    </w:p>
    <w:p w:rsidR="001C6F06" w:rsidRDefault="001C6F06" w:rsidP="0025138E">
      <w:pPr>
        <w:pStyle w:val="Default"/>
        <w:numPr>
          <w:ilvl w:val="0"/>
          <w:numId w:val="14"/>
        </w:numPr>
        <w:spacing w:before="240"/>
        <w:ind w:left="426"/>
        <w:rPr>
          <w:sz w:val="23"/>
          <w:szCs w:val="23"/>
          <w:lang w:val="es-AR"/>
        </w:rPr>
      </w:pPr>
      <w:r w:rsidRPr="001C6F06">
        <w:rPr>
          <w:sz w:val="23"/>
          <w:szCs w:val="23"/>
          <w:lang w:val="es-AR"/>
        </w:rPr>
        <w:t xml:space="preserve">Completar el formulario de inscripción (uno por cada envase participante) y enviarlo primero escaneado y luego incluirlo con el envío de las muestras físicas. </w:t>
      </w:r>
    </w:p>
    <w:p w:rsidR="007D29F9" w:rsidRPr="001C6F06" w:rsidRDefault="007D29F9" w:rsidP="007D29F9">
      <w:pPr>
        <w:pStyle w:val="Default"/>
        <w:ind w:left="66"/>
        <w:rPr>
          <w:sz w:val="23"/>
          <w:szCs w:val="23"/>
          <w:lang w:val="es-AR"/>
        </w:rPr>
      </w:pPr>
    </w:p>
    <w:p w:rsidR="001C6F06" w:rsidRPr="001C6F06" w:rsidRDefault="001C6F06" w:rsidP="001C6F06">
      <w:pPr>
        <w:pStyle w:val="Default"/>
        <w:rPr>
          <w:sz w:val="23"/>
          <w:szCs w:val="23"/>
          <w:lang w:val="es-AR"/>
        </w:rPr>
      </w:pPr>
      <w:r w:rsidRPr="001C6F06">
        <w:rPr>
          <w:sz w:val="23"/>
          <w:szCs w:val="23"/>
          <w:lang w:val="es-AR"/>
        </w:rPr>
        <w:t>La fecha límite para presentar el formulario de inscripción y la presentación de material es el 31 de marzo de 2024. El material solicitado deberá ser remitido dentro de los plazos establecidos a Av.</w:t>
      </w:r>
      <w:r>
        <w:rPr>
          <w:sz w:val="23"/>
          <w:szCs w:val="23"/>
          <w:lang w:val="es-AR"/>
        </w:rPr>
        <w:t xml:space="preserve"> </w:t>
      </w:r>
      <w:r w:rsidRPr="001C6F06">
        <w:rPr>
          <w:sz w:val="23"/>
          <w:szCs w:val="23"/>
          <w:lang w:val="es-AR"/>
        </w:rPr>
        <w:t xml:space="preserve">Jujuy 425 – C1083AAE – CABA (las muestras físicas y formulario de inscripción original) y a estrelladelsur@envase.org el material digitalizado (formulario de inscripción escaneado, fotos en alta y en baja resolución y descripción/memoria técnica del envase a presentar). </w:t>
      </w:r>
    </w:p>
    <w:p w:rsidR="001C6F06" w:rsidRDefault="001C6F06" w:rsidP="001C6F06">
      <w:pPr>
        <w:rPr>
          <w:sz w:val="23"/>
          <w:szCs w:val="23"/>
          <w:lang w:val="es-AR"/>
        </w:rPr>
      </w:pPr>
      <w:r w:rsidRPr="001C6F06">
        <w:rPr>
          <w:sz w:val="23"/>
          <w:szCs w:val="23"/>
          <w:lang w:val="es-AR"/>
        </w:rPr>
        <w:t>Las muestras físicas presentadas no se devuelven.</w:t>
      </w:r>
    </w:p>
    <w:p w:rsidR="000C115D" w:rsidRDefault="000C115D" w:rsidP="001C6F06">
      <w:pPr>
        <w:rPr>
          <w:sz w:val="23"/>
          <w:szCs w:val="23"/>
          <w:lang w:val="es-AR"/>
        </w:rPr>
      </w:pPr>
    </w:p>
    <w:p w:rsidR="001C6F06" w:rsidRPr="003C6C02" w:rsidRDefault="003C6C02" w:rsidP="001C6F06">
      <w:pPr>
        <w:pStyle w:val="Default"/>
        <w:rPr>
          <w:sz w:val="28"/>
          <w:szCs w:val="23"/>
          <w:lang w:val="es-AR"/>
        </w:rPr>
      </w:pPr>
      <w:r>
        <w:rPr>
          <w:b/>
          <w:bCs/>
          <w:sz w:val="28"/>
          <w:szCs w:val="23"/>
          <w:lang w:val="es-AR"/>
        </w:rPr>
        <w:lastRenderedPageBreak/>
        <w:t>4) Criterios de evaluación</w:t>
      </w:r>
    </w:p>
    <w:p w:rsidR="001C6F06" w:rsidRDefault="001C6F06" w:rsidP="001C6F06">
      <w:pPr>
        <w:pStyle w:val="Default"/>
        <w:rPr>
          <w:sz w:val="23"/>
          <w:szCs w:val="23"/>
          <w:lang w:val="es-AR"/>
        </w:rPr>
      </w:pPr>
      <w:r w:rsidRPr="001C6F06">
        <w:rPr>
          <w:sz w:val="23"/>
          <w:szCs w:val="23"/>
          <w:lang w:val="es-AR"/>
        </w:rPr>
        <w:t xml:space="preserve">Para determinar a los ganadores del concurso, el jurado considerará los siguientes aspectos: </w:t>
      </w:r>
    </w:p>
    <w:p w:rsidR="00EA7854" w:rsidRPr="001C6F06" w:rsidRDefault="00EA7854" w:rsidP="001C6F06">
      <w:pPr>
        <w:pStyle w:val="Default"/>
        <w:rPr>
          <w:sz w:val="23"/>
          <w:szCs w:val="23"/>
          <w:lang w:val="es-AR"/>
        </w:rPr>
      </w:pPr>
    </w:p>
    <w:p w:rsidR="00FB7846" w:rsidRPr="00E4273C" w:rsidRDefault="001C6F06" w:rsidP="007D29F9">
      <w:pPr>
        <w:pStyle w:val="Default"/>
        <w:numPr>
          <w:ilvl w:val="0"/>
          <w:numId w:val="7"/>
        </w:numPr>
        <w:ind w:left="426"/>
        <w:rPr>
          <w:b/>
          <w:color w:val="283481"/>
          <w:sz w:val="23"/>
          <w:szCs w:val="23"/>
          <w:lang w:val="es-AR"/>
        </w:rPr>
      </w:pPr>
      <w:r w:rsidRPr="00E4273C">
        <w:rPr>
          <w:b/>
          <w:color w:val="283481"/>
          <w:sz w:val="23"/>
          <w:szCs w:val="23"/>
          <w:lang w:val="es-AR"/>
        </w:rPr>
        <w:t>Protección y conservación del contenido</w:t>
      </w:r>
    </w:p>
    <w:p w:rsidR="001C6F06" w:rsidRDefault="00FB7846" w:rsidP="007D29F9">
      <w:pPr>
        <w:pStyle w:val="Default"/>
        <w:ind w:left="426"/>
        <w:rPr>
          <w:sz w:val="23"/>
          <w:szCs w:val="23"/>
          <w:lang w:val="es-AR"/>
        </w:rPr>
      </w:pPr>
      <w:r w:rsidRPr="00FB7846">
        <w:rPr>
          <w:sz w:val="23"/>
          <w:szCs w:val="23"/>
          <w:lang w:val="es-AR"/>
        </w:rPr>
        <w:t>C</w:t>
      </w:r>
      <w:r w:rsidR="001C6F06" w:rsidRPr="001C6F06">
        <w:rPr>
          <w:sz w:val="23"/>
          <w:szCs w:val="23"/>
          <w:lang w:val="es-AR"/>
        </w:rPr>
        <w:t xml:space="preserve">aracterísticas del envase que contribuyen a proteger/conservar el contenido. Cómo mejora su vida útil / logística / etc. Inviolabilidad del envase. </w:t>
      </w:r>
    </w:p>
    <w:p w:rsidR="00FB7846" w:rsidRPr="00F96F98" w:rsidRDefault="00FB7846" w:rsidP="007D29F9">
      <w:pPr>
        <w:pStyle w:val="Default"/>
        <w:ind w:left="426"/>
        <w:rPr>
          <w:b/>
          <w:color w:val="1F4E79" w:themeColor="accent1" w:themeShade="80"/>
          <w:sz w:val="23"/>
          <w:szCs w:val="23"/>
          <w:lang w:val="es-AR"/>
        </w:rPr>
      </w:pPr>
    </w:p>
    <w:p w:rsidR="00F96F98" w:rsidRPr="00675BEF" w:rsidRDefault="001C6F06" w:rsidP="00675BEF">
      <w:pPr>
        <w:pStyle w:val="Default"/>
        <w:numPr>
          <w:ilvl w:val="0"/>
          <w:numId w:val="7"/>
        </w:numPr>
        <w:ind w:left="426"/>
        <w:rPr>
          <w:b/>
          <w:color w:val="283481"/>
          <w:sz w:val="23"/>
          <w:szCs w:val="23"/>
          <w:lang w:val="es-AR"/>
        </w:rPr>
      </w:pPr>
      <w:r w:rsidRPr="00E4273C">
        <w:rPr>
          <w:b/>
          <w:color w:val="283481"/>
          <w:sz w:val="23"/>
          <w:szCs w:val="23"/>
          <w:lang w:val="es-AR"/>
        </w:rPr>
        <w:t>Facilidad de manipulación, llenad</w:t>
      </w:r>
      <w:r w:rsidR="00EA7854" w:rsidRPr="00E4273C">
        <w:rPr>
          <w:b/>
          <w:color w:val="283481"/>
          <w:sz w:val="23"/>
          <w:szCs w:val="23"/>
          <w:lang w:val="es-AR"/>
        </w:rPr>
        <w:t>o, cierre y apertura, recerrado</w:t>
      </w:r>
      <w:r w:rsidR="00675BEF">
        <w:rPr>
          <w:b/>
          <w:color w:val="283481"/>
          <w:sz w:val="23"/>
          <w:szCs w:val="23"/>
          <w:lang w:val="es-AR"/>
        </w:rPr>
        <w:t xml:space="preserve"> </w:t>
      </w:r>
      <w:r w:rsidRPr="00675BEF">
        <w:rPr>
          <w:b/>
          <w:color w:val="283481"/>
          <w:sz w:val="23"/>
          <w:szCs w:val="23"/>
          <w:lang w:val="es-AR"/>
        </w:rPr>
        <w:t>(para fabricante y usuario)</w:t>
      </w:r>
    </w:p>
    <w:p w:rsidR="001C6F06" w:rsidRDefault="001C6F06" w:rsidP="007D29F9">
      <w:pPr>
        <w:pStyle w:val="Default"/>
        <w:ind w:left="426"/>
        <w:rPr>
          <w:sz w:val="23"/>
          <w:szCs w:val="23"/>
          <w:lang w:val="es-AR"/>
        </w:rPr>
      </w:pPr>
      <w:r w:rsidRPr="001C6F06">
        <w:rPr>
          <w:sz w:val="23"/>
          <w:szCs w:val="23"/>
          <w:lang w:val="es-AR"/>
        </w:rPr>
        <w:t xml:space="preserve">Características del cierre que hace que el envasado sea sencillo o se simplifique. Características del envase que lo hacen fácilmente manipulable por el usuario final. </w:t>
      </w:r>
    </w:p>
    <w:p w:rsidR="00EA7854" w:rsidRPr="001C6F06" w:rsidRDefault="00EA7854" w:rsidP="007D29F9">
      <w:pPr>
        <w:pStyle w:val="Default"/>
        <w:ind w:left="426"/>
        <w:rPr>
          <w:sz w:val="23"/>
          <w:szCs w:val="23"/>
          <w:lang w:val="es-AR"/>
        </w:rPr>
      </w:pPr>
    </w:p>
    <w:p w:rsidR="00EA7854" w:rsidRPr="00E4273C" w:rsidRDefault="001C6F06" w:rsidP="007D29F9">
      <w:pPr>
        <w:pStyle w:val="Default"/>
        <w:numPr>
          <w:ilvl w:val="0"/>
          <w:numId w:val="7"/>
        </w:numPr>
        <w:ind w:left="426"/>
        <w:rPr>
          <w:b/>
          <w:color w:val="283481"/>
          <w:sz w:val="23"/>
          <w:szCs w:val="23"/>
          <w:lang w:val="es-AR"/>
        </w:rPr>
      </w:pPr>
      <w:r w:rsidRPr="00E4273C">
        <w:rPr>
          <w:b/>
          <w:color w:val="283481"/>
          <w:sz w:val="23"/>
          <w:szCs w:val="23"/>
          <w:lang w:val="es-AR"/>
        </w:rPr>
        <w:t>Grado de adecuación</w:t>
      </w:r>
      <w:r w:rsidR="00EA7854" w:rsidRPr="00E4273C">
        <w:rPr>
          <w:b/>
          <w:color w:val="283481"/>
          <w:sz w:val="23"/>
          <w:szCs w:val="23"/>
          <w:lang w:val="es-AR"/>
        </w:rPr>
        <w:t xml:space="preserve"> de la información</w:t>
      </w:r>
    </w:p>
    <w:p w:rsidR="001C6F06" w:rsidRDefault="001C6F06" w:rsidP="007D29F9">
      <w:pPr>
        <w:pStyle w:val="Default"/>
        <w:ind w:left="426"/>
        <w:rPr>
          <w:sz w:val="23"/>
          <w:szCs w:val="23"/>
          <w:lang w:val="es-AR"/>
        </w:rPr>
      </w:pPr>
      <w:r w:rsidRPr="001C6F06">
        <w:rPr>
          <w:sz w:val="23"/>
          <w:szCs w:val="23"/>
          <w:lang w:val="es-AR"/>
        </w:rPr>
        <w:t xml:space="preserve">Que la información relacionada con el producto sea completa, legible, accesible. </w:t>
      </w:r>
    </w:p>
    <w:p w:rsidR="00EA7854" w:rsidRPr="001C6F06" w:rsidRDefault="00EA7854" w:rsidP="007D29F9">
      <w:pPr>
        <w:pStyle w:val="Default"/>
        <w:ind w:left="426"/>
        <w:rPr>
          <w:sz w:val="23"/>
          <w:szCs w:val="23"/>
          <w:lang w:val="es-AR"/>
        </w:rPr>
      </w:pPr>
    </w:p>
    <w:p w:rsidR="00EA7854" w:rsidRPr="00E4273C" w:rsidRDefault="00EA7854" w:rsidP="007D29F9">
      <w:pPr>
        <w:pStyle w:val="Default"/>
        <w:numPr>
          <w:ilvl w:val="0"/>
          <w:numId w:val="7"/>
        </w:numPr>
        <w:ind w:left="426"/>
        <w:rPr>
          <w:b/>
          <w:color w:val="283481"/>
          <w:sz w:val="23"/>
          <w:szCs w:val="23"/>
          <w:lang w:val="es-AR"/>
        </w:rPr>
      </w:pPr>
      <w:r w:rsidRPr="00E4273C">
        <w:rPr>
          <w:b/>
          <w:color w:val="283481"/>
          <w:sz w:val="23"/>
          <w:szCs w:val="23"/>
          <w:lang w:val="es-AR"/>
        </w:rPr>
        <w:t>Atractivo para la venta</w:t>
      </w:r>
    </w:p>
    <w:p w:rsidR="001C6F06" w:rsidRDefault="001C6F06" w:rsidP="007D29F9">
      <w:pPr>
        <w:pStyle w:val="Default"/>
        <w:ind w:left="426"/>
        <w:rPr>
          <w:sz w:val="23"/>
          <w:szCs w:val="23"/>
          <w:lang w:val="es-AR"/>
        </w:rPr>
      </w:pPr>
      <w:r w:rsidRPr="001C6F06">
        <w:rPr>
          <w:sz w:val="23"/>
          <w:szCs w:val="23"/>
          <w:lang w:val="es-AR"/>
        </w:rPr>
        <w:t xml:space="preserve">Cuáles son las características que destacan este envase en el punto de venta. </w:t>
      </w:r>
    </w:p>
    <w:p w:rsidR="00EA7854" w:rsidRPr="001C6F06" w:rsidRDefault="00EA7854" w:rsidP="007D29F9">
      <w:pPr>
        <w:pStyle w:val="Default"/>
        <w:ind w:left="426"/>
        <w:rPr>
          <w:sz w:val="23"/>
          <w:szCs w:val="23"/>
          <w:lang w:val="es-AR"/>
        </w:rPr>
      </w:pPr>
    </w:p>
    <w:p w:rsidR="00EA7854" w:rsidRPr="00E4273C" w:rsidRDefault="00EA7854" w:rsidP="007D29F9">
      <w:pPr>
        <w:pStyle w:val="Default"/>
        <w:numPr>
          <w:ilvl w:val="0"/>
          <w:numId w:val="7"/>
        </w:numPr>
        <w:ind w:left="426"/>
        <w:rPr>
          <w:b/>
          <w:color w:val="283481"/>
          <w:sz w:val="23"/>
          <w:szCs w:val="23"/>
          <w:lang w:val="es-AR"/>
        </w:rPr>
      </w:pPr>
      <w:r w:rsidRPr="00E4273C">
        <w:rPr>
          <w:b/>
          <w:color w:val="283481"/>
          <w:sz w:val="23"/>
          <w:szCs w:val="23"/>
          <w:lang w:val="es-AR"/>
        </w:rPr>
        <w:t>Diseño gráfico</w:t>
      </w:r>
    </w:p>
    <w:p w:rsidR="001C6F06" w:rsidRDefault="00EA7854" w:rsidP="007D29F9">
      <w:pPr>
        <w:pStyle w:val="Default"/>
        <w:ind w:left="426"/>
        <w:rPr>
          <w:sz w:val="23"/>
          <w:szCs w:val="23"/>
          <w:lang w:val="es-AR"/>
        </w:rPr>
      </w:pPr>
      <w:r>
        <w:rPr>
          <w:sz w:val="23"/>
          <w:szCs w:val="23"/>
          <w:lang w:val="es-AR"/>
        </w:rPr>
        <w:t>T</w:t>
      </w:r>
      <w:r w:rsidR="001C6F06" w:rsidRPr="001C6F06">
        <w:rPr>
          <w:sz w:val="23"/>
          <w:szCs w:val="23"/>
          <w:lang w:val="es-AR"/>
        </w:rPr>
        <w:t>écnicas / procesos utilizados e</w:t>
      </w:r>
      <w:r>
        <w:rPr>
          <w:sz w:val="23"/>
          <w:szCs w:val="23"/>
          <w:lang w:val="es-AR"/>
        </w:rPr>
        <w:t>n el diseño gráfico del envase.</w:t>
      </w:r>
    </w:p>
    <w:p w:rsidR="00EA7854" w:rsidRPr="001C6F06" w:rsidRDefault="00EA7854" w:rsidP="007D29F9">
      <w:pPr>
        <w:pStyle w:val="Default"/>
        <w:ind w:left="426"/>
        <w:rPr>
          <w:sz w:val="23"/>
          <w:szCs w:val="23"/>
          <w:lang w:val="es-AR"/>
        </w:rPr>
      </w:pPr>
    </w:p>
    <w:p w:rsidR="00EA7854" w:rsidRPr="00E4273C" w:rsidRDefault="00EA7854" w:rsidP="007D29F9">
      <w:pPr>
        <w:pStyle w:val="Default"/>
        <w:numPr>
          <w:ilvl w:val="0"/>
          <w:numId w:val="7"/>
        </w:numPr>
        <w:ind w:left="426"/>
        <w:rPr>
          <w:b/>
          <w:color w:val="283481"/>
          <w:sz w:val="23"/>
          <w:szCs w:val="23"/>
          <w:lang w:val="es-AR"/>
        </w:rPr>
      </w:pPr>
      <w:r w:rsidRPr="00E4273C">
        <w:rPr>
          <w:b/>
          <w:color w:val="283481"/>
          <w:sz w:val="23"/>
          <w:szCs w:val="23"/>
          <w:lang w:val="es-AR"/>
        </w:rPr>
        <w:t>Economía de materiales</w:t>
      </w:r>
    </w:p>
    <w:p w:rsidR="001C6F06" w:rsidRDefault="001C6F06" w:rsidP="007D29F9">
      <w:pPr>
        <w:pStyle w:val="Default"/>
        <w:ind w:left="426"/>
        <w:rPr>
          <w:sz w:val="23"/>
          <w:szCs w:val="23"/>
          <w:lang w:val="es-AR"/>
        </w:rPr>
      </w:pPr>
      <w:r w:rsidRPr="001C6F06">
        <w:rPr>
          <w:sz w:val="23"/>
          <w:szCs w:val="23"/>
          <w:lang w:val="es-AR"/>
        </w:rPr>
        <w:t xml:space="preserve">Explicar cómo se redujo /optimizó el uso de materiales en relación a la versión anterior del envase o similar. </w:t>
      </w:r>
    </w:p>
    <w:p w:rsidR="00EA7854" w:rsidRPr="001C6F06" w:rsidRDefault="00EA7854" w:rsidP="007D29F9">
      <w:pPr>
        <w:pStyle w:val="Default"/>
        <w:ind w:left="426"/>
        <w:rPr>
          <w:sz w:val="23"/>
          <w:szCs w:val="23"/>
          <w:lang w:val="es-AR"/>
        </w:rPr>
      </w:pPr>
    </w:p>
    <w:p w:rsidR="00EA7854" w:rsidRPr="00E4273C" w:rsidRDefault="00EA7854" w:rsidP="007D29F9">
      <w:pPr>
        <w:pStyle w:val="Default"/>
        <w:numPr>
          <w:ilvl w:val="0"/>
          <w:numId w:val="7"/>
        </w:numPr>
        <w:ind w:left="426"/>
        <w:rPr>
          <w:b/>
          <w:color w:val="283481"/>
          <w:sz w:val="23"/>
          <w:szCs w:val="23"/>
          <w:lang w:val="es-AR"/>
        </w:rPr>
      </w:pPr>
      <w:r w:rsidRPr="00E4273C">
        <w:rPr>
          <w:b/>
          <w:color w:val="283481"/>
          <w:sz w:val="23"/>
          <w:szCs w:val="23"/>
          <w:lang w:val="es-AR"/>
        </w:rPr>
        <w:t>Reducción de costos</w:t>
      </w:r>
    </w:p>
    <w:p w:rsidR="001C6F06" w:rsidRDefault="001C6F06" w:rsidP="007D29F9">
      <w:pPr>
        <w:pStyle w:val="Default"/>
        <w:ind w:left="426"/>
        <w:rPr>
          <w:sz w:val="23"/>
          <w:szCs w:val="23"/>
          <w:lang w:val="es-AR"/>
        </w:rPr>
      </w:pPr>
      <w:r w:rsidRPr="001C6F06">
        <w:rPr>
          <w:sz w:val="23"/>
          <w:szCs w:val="23"/>
          <w:lang w:val="es-AR"/>
        </w:rPr>
        <w:t xml:space="preserve">De qué manera el envase presentado contribuye a disminuir los costos (ej: optimizando el espacio requerido para el traslado, se eliminó una capa de material sin alterar las características del envase, etc.) o por comparación con una versión anterior del envase. </w:t>
      </w:r>
    </w:p>
    <w:p w:rsidR="00EA7854" w:rsidRPr="001C6F06" w:rsidRDefault="00EA7854" w:rsidP="007D29F9">
      <w:pPr>
        <w:pStyle w:val="Default"/>
        <w:ind w:left="426"/>
        <w:rPr>
          <w:sz w:val="23"/>
          <w:szCs w:val="23"/>
          <w:lang w:val="es-AR"/>
        </w:rPr>
      </w:pPr>
    </w:p>
    <w:p w:rsidR="00EA7854" w:rsidRPr="00E4273C" w:rsidRDefault="00EA7854" w:rsidP="007D29F9">
      <w:pPr>
        <w:pStyle w:val="Default"/>
        <w:numPr>
          <w:ilvl w:val="0"/>
          <w:numId w:val="7"/>
        </w:numPr>
        <w:ind w:left="426"/>
        <w:rPr>
          <w:b/>
          <w:color w:val="283481"/>
          <w:sz w:val="23"/>
          <w:szCs w:val="23"/>
          <w:lang w:val="es-AR"/>
        </w:rPr>
      </w:pPr>
      <w:r w:rsidRPr="00E4273C">
        <w:rPr>
          <w:b/>
          <w:color w:val="283481"/>
          <w:sz w:val="23"/>
          <w:szCs w:val="23"/>
          <w:lang w:val="es-AR"/>
        </w:rPr>
        <w:t>Impacto ambiental</w:t>
      </w:r>
    </w:p>
    <w:p w:rsidR="001C6F06" w:rsidRDefault="001C6F06" w:rsidP="007D29F9">
      <w:pPr>
        <w:pStyle w:val="Default"/>
        <w:ind w:left="426"/>
        <w:rPr>
          <w:sz w:val="23"/>
          <w:szCs w:val="23"/>
        </w:rPr>
      </w:pPr>
      <w:r w:rsidRPr="001C6F06">
        <w:rPr>
          <w:sz w:val="23"/>
          <w:szCs w:val="23"/>
          <w:lang w:val="es-AR"/>
        </w:rPr>
        <w:t xml:space="preserve">Cómo el envase disminuye el impacto ambiental. Uso de materiales reciclables / reciclados / reutilizables. Materia prima obtenida de fuentes controladas. </w:t>
      </w:r>
      <w:r>
        <w:rPr>
          <w:sz w:val="23"/>
          <w:szCs w:val="23"/>
        </w:rPr>
        <w:t xml:space="preserve">Etc. </w:t>
      </w:r>
    </w:p>
    <w:p w:rsidR="00EA7854" w:rsidRDefault="00EA7854" w:rsidP="007D29F9">
      <w:pPr>
        <w:pStyle w:val="Default"/>
        <w:ind w:left="426"/>
        <w:rPr>
          <w:sz w:val="23"/>
          <w:szCs w:val="23"/>
        </w:rPr>
      </w:pPr>
    </w:p>
    <w:p w:rsidR="00EA7854" w:rsidRPr="00E4273C" w:rsidRDefault="001C6F06" w:rsidP="007D29F9">
      <w:pPr>
        <w:pStyle w:val="Prrafodelista"/>
        <w:numPr>
          <w:ilvl w:val="0"/>
          <w:numId w:val="7"/>
        </w:numPr>
        <w:spacing w:line="240" w:lineRule="auto"/>
        <w:ind w:left="426"/>
        <w:rPr>
          <w:rFonts w:ascii="Calibri" w:hAnsi="Calibri" w:cs="Calibri"/>
          <w:b/>
          <w:color w:val="283481"/>
          <w:sz w:val="23"/>
          <w:szCs w:val="23"/>
          <w:lang w:val="es-AR"/>
        </w:rPr>
      </w:pPr>
      <w:r w:rsidRPr="00E4273C">
        <w:rPr>
          <w:rFonts w:ascii="Calibri" w:hAnsi="Calibri" w:cs="Calibri"/>
          <w:b/>
          <w:color w:val="283481"/>
          <w:sz w:val="23"/>
          <w:szCs w:val="23"/>
          <w:lang w:val="es-AR"/>
        </w:rPr>
        <w:t>Tecnología, innovación, construcción ingeniosa</w:t>
      </w:r>
    </w:p>
    <w:p w:rsidR="007D29F9" w:rsidRDefault="001C6F06" w:rsidP="000C115D">
      <w:pPr>
        <w:pStyle w:val="Prrafodelista"/>
        <w:spacing w:line="240" w:lineRule="auto"/>
        <w:ind w:left="426"/>
        <w:rPr>
          <w:sz w:val="23"/>
          <w:szCs w:val="23"/>
          <w:lang w:val="es-AR"/>
        </w:rPr>
      </w:pPr>
      <w:r w:rsidRPr="00EA7854">
        <w:rPr>
          <w:sz w:val="23"/>
          <w:szCs w:val="23"/>
          <w:lang w:val="es-AR"/>
        </w:rPr>
        <w:t>Qué cambios o mejoras se introdujeron en la fabricación del envase. Dónde radica la innovación.</w:t>
      </w:r>
    </w:p>
    <w:p w:rsidR="007D29F9" w:rsidRDefault="007D29F9" w:rsidP="001C6F06">
      <w:pPr>
        <w:pStyle w:val="Default"/>
        <w:rPr>
          <w:rFonts w:asciiTheme="minorHAnsi" w:hAnsiTheme="minorHAnsi" w:cstheme="minorBidi"/>
          <w:color w:val="auto"/>
          <w:sz w:val="23"/>
          <w:szCs w:val="23"/>
          <w:lang w:val="es-AR"/>
        </w:rPr>
      </w:pPr>
    </w:p>
    <w:p w:rsidR="007D29F9" w:rsidRDefault="001C6F06" w:rsidP="001C6F06">
      <w:pPr>
        <w:pStyle w:val="Default"/>
        <w:rPr>
          <w:b/>
          <w:bCs/>
          <w:sz w:val="28"/>
          <w:szCs w:val="23"/>
          <w:lang w:val="es-AR"/>
        </w:rPr>
      </w:pPr>
      <w:r w:rsidRPr="003C6C02">
        <w:rPr>
          <w:b/>
          <w:bCs/>
          <w:sz w:val="28"/>
          <w:szCs w:val="23"/>
          <w:lang w:val="es-AR"/>
        </w:rPr>
        <w:t xml:space="preserve">5) Categorías en concurso </w:t>
      </w:r>
    </w:p>
    <w:p w:rsidR="000C115D" w:rsidRDefault="000C115D" w:rsidP="001C6F06">
      <w:pPr>
        <w:pStyle w:val="Default"/>
        <w:rPr>
          <w:b/>
          <w:bCs/>
          <w:sz w:val="28"/>
          <w:szCs w:val="23"/>
          <w:lang w:val="es-A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8"/>
      </w:tblGrid>
      <w:tr w:rsidR="007D29F9" w:rsidRPr="002B37DA" w:rsidTr="007D29F9">
        <w:tc>
          <w:tcPr>
            <w:tcW w:w="5035" w:type="dxa"/>
          </w:tcPr>
          <w:p w:rsidR="007D29F9" w:rsidRPr="001C6F06" w:rsidRDefault="007D29F9" w:rsidP="000C115D">
            <w:pPr>
              <w:pStyle w:val="Default"/>
              <w:numPr>
                <w:ilvl w:val="0"/>
                <w:numId w:val="3"/>
              </w:numPr>
              <w:spacing w:line="276" w:lineRule="auto"/>
              <w:ind w:left="306"/>
              <w:rPr>
                <w:sz w:val="23"/>
                <w:szCs w:val="23"/>
                <w:lang w:val="es-AR"/>
              </w:rPr>
            </w:pPr>
            <w:r w:rsidRPr="001C6F06">
              <w:rPr>
                <w:sz w:val="23"/>
                <w:szCs w:val="23"/>
                <w:lang w:val="es-AR"/>
              </w:rPr>
              <w:t xml:space="preserve">Alimentos </w:t>
            </w:r>
          </w:p>
          <w:p w:rsidR="007D29F9" w:rsidRPr="001C6F06" w:rsidRDefault="007D29F9" w:rsidP="000C115D">
            <w:pPr>
              <w:pStyle w:val="Default"/>
              <w:numPr>
                <w:ilvl w:val="0"/>
                <w:numId w:val="3"/>
              </w:numPr>
              <w:spacing w:line="276" w:lineRule="auto"/>
              <w:ind w:left="306"/>
              <w:rPr>
                <w:sz w:val="23"/>
                <w:szCs w:val="23"/>
                <w:lang w:val="es-AR"/>
              </w:rPr>
            </w:pPr>
            <w:r w:rsidRPr="001C6F06">
              <w:rPr>
                <w:sz w:val="23"/>
                <w:szCs w:val="23"/>
                <w:lang w:val="es-AR"/>
              </w:rPr>
              <w:t xml:space="preserve">Bebidas </w:t>
            </w:r>
          </w:p>
          <w:p w:rsidR="007D29F9" w:rsidRPr="001C6F06" w:rsidRDefault="007D29F9" w:rsidP="000C115D">
            <w:pPr>
              <w:pStyle w:val="Default"/>
              <w:numPr>
                <w:ilvl w:val="0"/>
                <w:numId w:val="3"/>
              </w:numPr>
              <w:spacing w:line="276" w:lineRule="auto"/>
              <w:ind w:left="306"/>
              <w:rPr>
                <w:sz w:val="23"/>
                <w:szCs w:val="23"/>
                <w:lang w:val="es-AR"/>
              </w:rPr>
            </w:pPr>
            <w:r w:rsidRPr="001C6F06">
              <w:rPr>
                <w:sz w:val="23"/>
                <w:szCs w:val="23"/>
                <w:lang w:val="es-AR"/>
              </w:rPr>
              <w:t xml:space="preserve">Cuidado Personal </w:t>
            </w:r>
          </w:p>
          <w:p w:rsidR="007D29F9" w:rsidRPr="001C6F06" w:rsidRDefault="007D29F9" w:rsidP="000C115D">
            <w:pPr>
              <w:pStyle w:val="Default"/>
              <w:numPr>
                <w:ilvl w:val="0"/>
                <w:numId w:val="3"/>
              </w:numPr>
              <w:spacing w:line="276" w:lineRule="auto"/>
              <w:ind w:left="306"/>
              <w:rPr>
                <w:sz w:val="23"/>
                <w:szCs w:val="23"/>
                <w:lang w:val="es-AR"/>
              </w:rPr>
            </w:pPr>
            <w:r w:rsidRPr="001C6F06">
              <w:rPr>
                <w:sz w:val="23"/>
                <w:szCs w:val="23"/>
                <w:lang w:val="es-AR"/>
              </w:rPr>
              <w:t xml:space="preserve">E-commerce </w:t>
            </w:r>
          </w:p>
          <w:p w:rsidR="007D29F9" w:rsidRPr="001C6F06" w:rsidRDefault="007D29F9" w:rsidP="000C115D">
            <w:pPr>
              <w:pStyle w:val="Default"/>
              <w:numPr>
                <w:ilvl w:val="0"/>
                <w:numId w:val="3"/>
              </w:numPr>
              <w:spacing w:line="276" w:lineRule="auto"/>
              <w:ind w:left="306"/>
              <w:rPr>
                <w:sz w:val="23"/>
                <w:szCs w:val="23"/>
                <w:lang w:val="es-AR"/>
              </w:rPr>
            </w:pPr>
            <w:r w:rsidRPr="001C6F06">
              <w:rPr>
                <w:sz w:val="23"/>
                <w:szCs w:val="23"/>
                <w:lang w:val="es-AR"/>
              </w:rPr>
              <w:t xml:space="preserve">Electrónica y Tecnología </w:t>
            </w:r>
          </w:p>
          <w:p w:rsidR="007D29F9" w:rsidRPr="001C6F06" w:rsidRDefault="007D29F9" w:rsidP="000C115D">
            <w:pPr>
              <w:pStyle w:val="Default"/>
              <w:numPr>
                <w:ilvl w:val="0"/>
                <w:numId w:val="3"/>
              </w:numPr>
              <w:spacing w:line="276" w:lineRule="auto"/>
              <w:ind w:left="306"/>
              <w:rPr>
                <w:sz w:val="23"/>
                <w:szCs w:val="23"/>
                <w:lang w:val="es-AR"/>
              </w:rPr>
            </w:pPr>
            <w:r w:rsidRPr="001C6F06">
              <w:rPr>
                <w:sz w:val="23"/>
                <w:szCs w:val="23"/>
                <w:lang w:val="es-AR"/>
              </w:rPr>
              <w:t xml:space="preserve">Envases Secundarios </w:t>
            </w:r>
          </w:p>
          <w:p w:rsidR="007D29F9" w:rsidRPr="007D29F9" w:rsidRDefault="007D29F9" w:rsidP="000C115D">
            <w:pPr>
              <w:pStyle w:val="Default"/>
              <w:numPr>
                <w:ilvl w:val="0"/>
                <w:numId w:val="3"/>
              </w:numPr>
              <w:spacing w:line="276" w:lineRule="auto"/>
              <w:ind w:left="306"/>
              <w:rPr>
                <w:sz w:val="23"/>
                <w:szCs w:val="23"/>
                <w:lang w:val="es-AR"/>
              </w:rPr>
            </w:pPr>
            <w:r w:rsidRPr="001C6F06">
              <w:rPr>
                <w:sz w:val="23"/>
                <w:szCs w:val="23"/>
                <w:lang w:val="es-AR"/>
              </w:rPr>
              <w:t xml:space="preserve">Envases Promocionales </w:t>
            </w:r>
          </w:p>
        </w:tc>
        <w:tc>
          <w:tcPr>
            <w:tcW w:w="5035" w:type="dxa"/>
          </w:tcPr>
          <w:p w:rsidR="007D29F9" w:rsidRPr="001C6F06" w:rsidRDefault="007D29F9" w:rsidP="000C115D">
            <w:pPr>
              <w:pStyle w:val="Default"/>
              <w:numPr>
                <w:ilvl w:val="0"/>
                <w:numId w:val="3"/>
              </w:numPr>
              <w:spacing w:line="276" w:lineRule="auto"/>
              <w:ind w:left="385"/>
              <w:rPr>
                <w:sz w:val="23"/>
                <w:szCs w:val="23"/>
                <w:lang w:val="es-AR"/>
              </w:rPr>
            </w:pPr>
            <w:r w:rsidRPr="001C6F06">
              <w:rPr>
                <w:sz w:val="23"/>
                <w:szCs w:val="23"/>
                <w:lang w:val="es-AR"/>
              </w:rPr>
              <w:t xml:space="preserve">Etiquetado y decoración- Exhibidores </w:t>
            </w:r>
          </w:p>
          <w:p w:rsidR="007D29F9" w:rsidRPr="001C6F06" w:rsidRDefault="007D29F9" w:rsidP="000C115D">
            <w:pPr>
              <w:pStyle w:val="Default"/>
              <w:numPr>
                <w:ilvl w:val="0"/>
                <w:numId w:val="3"/>
              </w:numPr>
              <w:spacing w:line="276" w:lineRule="auto"/>
              <w:ind w:left="385"/>
              <w:rPr>
                <w:sz w:val="23"/>
                <w:szCs w:val="23"/>
                <w:lang w:val="es-AR"/>
              </w:rPr>
            </w:pPr>
            <w:r w:rsidRPr="001C6F06">
              <w:rPr>
                <w:sz w:val="23"/>
                <w:szCs w:val="23"/>
                <w:lang w:val="es-AR"/>
              </w:rPr>
              <w:t xml:space="preserve">Hogar, Indumentaria, Juguetería y Regalería. </w:t>
            </w:r>
          </w:p>
          <w:p w:rsidR="007D29F9" w:rsidRPr="001C6F06" w:rsidRDefault="007D29F9" w:rsidP="000C115D">
            <w:pPr>
              <w:pStyle w:val="Default"/>
              <w:numPr>
                <w:ilvl w:val="0"/>
                <w:numId w:val="3"/>
              </w:numPr>
              <w:spacing w:line="276" w:lineRule="auto"/>
              <w:ind w:left="385"/>
              <w:rPr>
                <w:sz w:val="23"/>
                <w:szCs w:val="23"/>
                <w:lang w:val="es-AR"/>
              </w:rPr>
            </w:pPr>
            <w:r w:rsidRPr="001C6F06">
              <w:rPr>
                <w:sz w:val="23"/>
                <w:szCs w:val="23"/>
                <w:lang w:val="es-AR"/>
              </w:rPr>
              <w:t xml:space="preserve">Logística y embalajes </w:t>
            </w:r>
          </w:p>
          <w:p w:rsidR="007D29F9" w:rsidRPr="001C6F06" w:rsidRDefault="007D29F9" w:rsidP="000C115D">
            <w:pPr>
              <w:pStyle w:val="Default"/>
              <w:numPr>
                <w:ilvl w:val="0"/>
                <w:numId w:val="3"/>
              </w:numPr>
              <w:spacing w:line="276" w:lineRule="auto"/>
              <w:ind w:left="385"/>
              <w:rPr>
                <w:sz w:val="23"/>
                <w:szCs w:val="23"/>
                <w:lang w:val="es-AR"/>
              </w:rPr>
            </w:pPr>
            <w:r w:rsidRPr="001C6F06">
              <w:rPr>
                <w:sz w:val="23"/>
                <w:szCs w:val="23"/>
                <w:lang w:val="es-AR"/>
              </w:rPr>
              <w:t xml:space="preserve">Medicamentos </w:t>
            </w:r>
          </w:p>
          <w:p w:rsidR="000C115D" w:rsidRPr="000C115D" w:rsidRDefault="007D29F9" w:rsidP="000C115D">
            <w:pPr>
              <w:pStyle w:val="Default"/>
              <w:numPr>
                <w:ilvl w:val="0"/>
                <w:numId w:val="3"/>
              </w:numPr>
              <w:spacing w:line="276" w:lineRule="auto"/>
              <w:ind w:left="385"/>
              <w:rPr>
                <w:lang w:val="es-AR"/>
              </w:rPr>
            </w:pPr>
            <w:r w:rsidRPr="001C6F06">
              <w:rPr>
                <w:sz w:val="23"/>
                <w:szCs w:val="23"/>
                <w:lang w:val="es-AR"/>
              </w:rPr>
              <w:t xml:space="preserve">Mercancías peligrosas, químicos y agroquímicos. </w:t>
            </w:r>
          </w:p>
          <w:p w:rsidR="007D29F9" w:rsidRPr="007D29F9" w:rsidRDefault="007D29F9" w:rsidP="000C115D">
            <w:pPr>
              <w:pStyle w:val="Default"/>
              <w:numPr>
                <w:ilvl w:val="0"/>
                <w:numId w:val="3"/>
              </w:numPr>
              <w:spacing w:line="276" w:lineRule="auto"/>
              <w:ind w:left="385"/>
              <w:rPr>
                <w:lang w:val="es-AR"/>
              </w:rPr>
            </w:pPr>
            <w:r w:rsidRPr="003C6C02">
              <w:rPr>
                <w:sz w:val="23"/>
                <w:szCs w:val="23"/>
                <w:lang w:val="es-AR"/>
              </w:rPr>
              <w:t>Envases nacionales de exportación (mención especial)</w:t>
            </w:r>
          </w:p>
        </w:tc>
      </w:tr>
    </w:tbl>
    <w:p w:rsidR="002B37DA" w:rsidRDefault="002B37DA" w:rsidP="001C6F06">
      <w:pPr>
        <w:pStyle w:val="Default"/>
        <w:rPr>
          <w:b/>
          <w:bCs/>
          <w:sz w:val="28"/>
          <w:szCs w:val="23"/>
          <w:lang w:val="es-AR"/>
        </w:rPr>
      </w:pPr>
    </w:p>
    <w:p w:rsidR="00675BEF" w:rsidRDefault="00675BEF" w:rsidP="001C6F06">
      <w:pPr>
        <w:pStyle w:val="Default"/>
        <w:rPr>
          <w:b/>
          <w:bCs/>
          <w:sz w:val="28"/>
          <w:szCs w:val="23"/>
          <w:lang w:val="es-AR"/>
        </w:rPr>
      </w:pPr>
    </w:p>
    <w:p w:rsidR="001C6F06" w:rsidRPr="003C6C02" w:rsidRDefault="001C6F06" w:rsidP="001C6F06">
      <w:pPr>
        <w:pStyle w:val="Default"/>
        <w:rPr>
          <w:sz w:val="28"/>
          <w:szCs w:val="23"/>
          <w:lang w:val="es-AR"/>
        </w:rPr>
      </w:pPr>
      <w:r w:rsidRPr="003C6C02">
        <w:rPr>
          <w:b/>
          <w:bCs/>
          <w:sz w:val="28"/>
          <w:szCs w:val="23"/>
          <w:lang w:val="es-AR"/>
        </w:rPr>
        <w:lastRenderedPageBreak/>
        <w:t xml:space="preserve">6) Categorías Especiales: Save Food y Sustentabilidad </w:t>
      </w:r>
    </w:p>
    <w:p w:rsidR="002B37DA" w:rsidRDefault="002B37DA" w:rsidP="002B37DA">
      <w:pPr>
        <w:pStyle w:val="Default"/>
        <w:rPr>
          <w:sz w:val="23"/>
          <w:szCs w:val="23"/>
          <w:lang w:val="es-AR"/>
        </w:rPr>
      </w:pPr>
      <w:r w:rsidRPr="001C6F06">
        <w:rPr>
          <w:sz w:val="23"/>
          <w:szCs w:val="23"/>
          <w:lang w:val="es-AR"/>
        </w:rPr>
        <w:t xml:space="preserve">Para participar en estas categorías, la empresa deberá presentar, además de lo solicitado en el punto 3, un informe que justifique la inclusión del envase en estas categorías. </w:t>
      </w:r>
    </w:p>
    <w:p w:rsidR="002B37DA" w:rsidRDefault="002B37DA" w:rsidP="002B37DA">
      <w:pPr>
        <w:pStyle w:val="Default"/>
        <w:rPr>
          <w:sz w:val="23"/>
          <w:szCs w:val="23"/>
          <w:lang w:val="es-AR"/>
        </w:rPr>
      </w:pPr>
    </w:p>
    <w:p w:rsidR="002B37DA" w:rsidRPr="009111DE" w:rsidRDefault="002B37DA" w:rsidP="002B37DA">
      <w:pPr>
        <w:pStyle w:val="Default"/>
        <w:rPr>
          <w:sz w:val="23"/>
          <w:szCs w:val="23"/>
          <w:lang w:val="es-AR"/>
        </w:rPr>
      </w:pPr>
      <w:r w:rsidRPr="009111DE">
        <w:rPr>
          <w:sz w:val="23"/>
          <w:szCs w:val="23"/>
          <w:lang w:val="es-AR"/>
        </w:rPr>
        <w:t>La presentación de un envase en esta categoría debe incluir una memoria técnica que justifique y</w:t>
      </w:r>
    </w:p>
    <w:p w:rsidR="002B37DA" w:rsidRPr="009111DE" w:rsidRDefault="002B37DA" w:rsidP="002B37DA">
      <w:pPr>
        <w:pStyle w:val="Default"/>
        <w:rPr>
          <w:sz w:val="23"/>
          <w:szCs w:val="23"/>
          <w:lang w:val="es-AR"/>
        </w:rPr>
      </w:pPr>
      <w:r w:rsidRPr="009111DE">
        <w:rPr>
          <w:sz w:val="23"/>
          <w:szCs w:val="23"/>
          <w:lang w:val="es-AR"/>
        </w:rPr>
        <w:t>compare la mejora que incorpora el envase. La comparación puede ser contra un envase</w:t>
      </w:r>
    </w:p>
    <w:p w:rsidR="002B37DA" w:rsidRDefault="002B37DA" w:rsidP="002B37DA">
      <w:pPr>
        <w:pStyle w:val="Default"/>
        <w:rPr>
          <w:sz w:val="23"/>
          <w:szCs w:val="23"/>
          <w:lang w:val="es-AR"/>
        </w:rPr>
      </w:pPr>
      <w:r w:rsidRPr="009111DE">
        <w:rPr>
          <w:sz w:val="23"/>
          <w:szCs w:val="23"/>
          <w:lang w:val="es-AR"/>
        </w:rPr>
        <w:t>similar o contra sí mismo.</w:t>
      </w:r>
      <w:r>
        <w:rPr>
          <w:sz w:val="23"/>
          <w:szCs w:val="23"/>
          <w:lang w:val="es-AR"/>
        </w:rPr>
        <w:t xml:space="preserve"> </w:t>
      </w:r>
      <w:r w:rsidRPr="009111DE">
        <w:rPr>
          <w:sz w:val="23"/>
          <w:szCs w:val="23"/>
          <w:lang w:val="es-AR"/>
        </w:rPr>
        <w:t xml:space="preserve">Cada </w:t>
      </w:r>
      <w:r>
        <w:rPr>
          <w:sz w:val="23"/>
          <w:szCs w:val="23"/>
          <w:lang w:val="es-AR"/>
        </w:rPr>
        <w:t xml:space="preserve">uno de los criterios </w:t>
      </w:r>
      <w:r w:rsidRPr="009111DE">
        <w:rPr>
          <w:sz w:val="23"/>
          <w:szCs w:val="23"/>
          <w:lang w:val="es-AR"/>
        </w:rPr>
        <w:t>a evaluar debe estar incluido en la memoria técnica</w:t>
      </w:r>
      <w:r>
        <w:rPr>
          <w:sz w:val="23"/>
          <w:szCs w:val="23"/>
          <w:lang w:val="es-AR"/>
        </w:rPr>
        <w:t xml:space="preserve">, que reviste </w:t>
      </w:r>
      <w:r w:rsidRPr="009111DE">
        <w:rPr>
          <w:sz w:val="23"/>
          <w:szCs w:val="23"/>
          <w:lang w:val="es-AR"/>
        </w:rPr>
        <w:t xml:space="preserve">carácter de declaración jurada, tomándose por </w:t>
      </w:r>
      <w:r>
        <w:rPr>
          <w:sz w:val="23"/>
          <w:szCs w:val="23"/>
          <w:lang w:val="es-AR"/>
        </w:rPr>
        <w:t xml:space="preserve">válida toda la información vertida </w:t>
      </w:r>
      <w:r w:rsidRPr="009111DE">
        <w:rPr>
          <w:sz w:val="23"/>
          <w:szCs w:val="23"/>
          <w:lang w:val="es-AR"/>
        </w:rPr>
        <w:t>por la empresa participante.</w:t>
      </w:r>
    </w:p>
    <w:p w:rsidR="002B37DA" w:rsidRDefault="002B37DA" w:rsidP="002B37DA">
      <w:pPr>
        <w:pStyle w:val="Default"/>
        <w:rPr>
          <w:sz w:val="23"/>
          <w:szCs w:val="23"/>
          <w:lang w:val="es-AR"/>
        </w:rPr>
      </w:pPr>
    </w:p>
    <w:p w:rsidR="002B37DA" w:rsidRPr="009111DE" w:rsidRDefault="002B37DA" w:rsidP="002B37DA">
      <w:pPr>
        <w:pStyle w:val="Default"/>
        <w:rPr>
          <w:b/>
          <w:bCs/>
          <w:sz w:val="28"/>
          <w:szCs w:val="23"/>
          <w:lang w:val="es-AR"/>
        </w:rPr>
      </w:pPr>
      <w:r w:rsidRPr="009111DE">
        <w:rPr>
          <w:b/>
          <w:bCs/>
          <w:sz w:val="28"/>
          <w:szCs w:val="23"/>
          <w:lang w:val="es-AR"/>
        </w:rPr>
        <w:t>Save Food</w:t>
      </w:r>
    </w:p>
    <w:p w:rsidR="002B37DA" w:rsidRPr="009111DE" w:rsidRDefault="002B37DA" w:rsidP="002B37DA">
      <w:pPr>
        <w:pStyle w:val="Default"/>
        <w:rPr>
          <w:sz w:val="23"/>
          <w:szCs w:val="23"/>
          <w:lang w:val="es-AR"/>
        </w:rPr>
      </w:pPr>
      <w:r w:rsidRPr="009111DE">
        <w:rPr>
          <w:sz w:val="23"/>
          <w:szCs w:val="23"/>
          <w:lang w:val="es-AR"/>
        </w:rPr>
        <w:t>Esta categoría busca premiar a aquellos envases que muestren un mejora o innovación que redunde en una disminución del desperdicio/pérdida de alimentos.</w:t>
      </w:r>
      <w:r>
        <w:rPr>
          <w:sz w:val="23"/>
          <w:szCs w:val="23"/>
          <w:lang w:val="es-AR"/>
        </w:rPr>
        <w:t xml:space="preserve"> </w:t>
      </w:r>
      <w:r w:rsidRPr="009111DE">
        <w:rPr>
          <w:sz w:val="23"/>
          <w:szCs w:val="23"/>
          <w:lang w:val="es-AR"/>
        </w:rPr>
        <w:t>En línea con Save Food Initiative, Interpack y la WPO se incorpora esta categoría para destacar el papel del envasado en la prevención de las pérdidas y el desperdicio de alimentos. Se busca destacar los conceptos de empaquetado inteligente y sostenible para mejorar el suministro de alimentos a una población mundial en crecimiento.</w:t>
      </w:r>
    </w:p>
    <w:p w:rsidR="002B37DA" w:rsidRDefault="002B37DA" w:rsidP="002B37DA">
      <w:pPr>
        <w:pStyle w:val="Default"/>
        <w:rPr>
          <w:sz w:val="23"/>
          <w:szCs w:val="23"/>
          <w:lang w:val="es-AR"/>
        </w:rPr>
      </w:pPr>
    </w:p>
    <w:p w:rsidR="002B37DA" w:rsidRDefault="002B37DA" w:rsidP="002B37DA">
      <w:pPr>
        <w:pStyle w:val="Default"/>
        <w:rPr>
          <w:sz w:val="23"/>
          <w:szCs w:val="23"/>
          <w:lang w:val="es-AR"/>
        </w:rPr>
      </w:pPr>
      <w:r w:rsidRPr="009111DE">
        <w:rPr>
          <w:sz w:val="23"/>
          <w:szCs w:val="23"/>
          <w:lang w:val="es-AR"/>
        </w:rPr>
        <w:t xml:space="preserve">La información (memoria técnica) provista por los candidatos debe demostrar por qué </w:t>
      </w:r>
      <w:r>
        <w:rPr>
          <w:sz w:val="23"/>
          <w:szCs w:val="23"/>
          <w:lang w:val="es-AR"/>
        </w:rPr>
        <w:t xml:space="preserve">el envase / embalaje </w:t>
      </w:r>
      <w:r w:rsidRPr="009111DE">
        <w:rPr>
          <w:sz w:val="23"/>
          <w:szCs w:val="23"/>
          <w:lang w:val="es-AR"/>
        </w:rPr>
        <w:t>debe recibir un premio</w:t>
      </w:r>
      <w:r>
        <w:rPr>
          <w:sz w:val="23"/>
          <w:szCs w:val="23"/>
          <w:lang w:val="es-AR"/>
        </w:rPr>
        <w:t xml:space="preserve">, </w:t>
      </w:r>
      <w:r w:rsidRPr="009111DE">
        <w:rPr>
          <w:sz w:val="23"/>
          <w:szCs w:val="23"/>
          <w:lang w:val="es-AR"/>
        </w:rPr>
        <w:t>utilizando información mensurable y soportable. La misma tiene carácter de declaración jurada.</w:t>
      </w:r>
    </w:p>
    <w:p w:rsidR="002B37DA" w:rsidRPr="009111DE" w:rsidRDefault="002B37DA" w:rsidP="002B37DA">
      <w:pPr>
        <w:pStyle w:val="Default"/>
        <w:rPr>
          <w:sz w:val="23"/>
          <w:szCs w:val="23"/>
          <w:lang w:val="es-AR"/>
        </w:rPr>
      </w:pPr>
    </w:p>
    <w:p w:rsidR="002B37DA" w:rsidRDefault="002B37DA" w:rsidP="002B37DA">
      <w:pPr>
        <w:pStyle w:val="Default"/>
        <w:rPr>
          <w:sz w:val="23"/>
          <w:szCs w:val="23"/>
          <w:lang w:val="es-AR"/>
        </w:rPr>
      </w:pPr>
      <w:r w:rsidRPr="009111DE">
        <w:rPr>
          <w:sz w:val="23"/>
          <w:szCs w:val="23"/>
          <w:lang w:val="es-AR"/>
        </w:rPr>
        <w:t xml:space="preserve">Se valorarán las presentaciones </w:t>
      </w:r>
      <w:r>
        <w:rPr>
          <w:sz w:val="23"/>
          <w:szCs w:val="23"/>
          <w:lang w:val="es-AR"/>
        </w:rPr>
        <w:t xml:space="preserve">según </w:t>
      </w:r>
      <w:r w:rsidRPr="009111DE">
        <w:rPr>
          <w:sz w:val="23"/>
          <w:szCs w:val="23"/>
          <w:lang w:val="es-AR"/>
        </w:rPr>
        <w:t>los siguientes criterios</w:t>
      </w:r>
      <w:r>
        <w:rPr>
          <w:sz w:val="23"/>
          <w:szCs w:val="23"/>
          <w:lang w:val="es-AR"/>
        </w:rPr>
        <w:t>:</w:t>
      </w:r>
    </w:p>
    <w:p w:rsidR="002B37DA" w:rsidRPr="009111DE" w:rsidRDefault="002B37DA" w:rsidP="002B37DA">
      <w:pPr>
        <w:pStyle w:val="Default"/>
        <w:rPr>
          <w:sz w:val="23"/>
          <w:szCs w:val="23"/>
          <w:lang w:val="es-AR"/>
        </w:rPr>
      </w:pPr>
    </w:p>
    <w:p w:rsidR="002B37DA" w:rsidRPr="009111DE" w:rsidRDefault="002B37DA" w:rsidP="002B37DA">
      <w:pPr>
        <w:pStyle w:val="Prrafodelista"/>
        <w:numPr>
          <w:ilvl w:val="0"/>
          <w:numId w:val="21"/>
        </w:numPr>
        <w:spacing w:line="240" w:lineRule="auto"/>
        <w:rPr>
          <w:rFonts w:ascii="Calibri" w:hAnsi="Calibri" w:cs="Calibri"/>
          <w:b/>
          <w:color w:val="283481"/>
          <w:sz w:val="23"/>
          <w:szCs w:val="23"/>
          <w:lang w:val="es-AR"/>
        </w:rPr>
      </w:pPr>
      <w:r w:rsidRPr="009111DE">
        <w:rPr>
          <w:rFonts w:ascii="Calibri" w:hAnsi="Calibri" w:cs="Calibri"/>
          <w:b/>
          <w:color w:val="283481"/>
          <w:sz w:val="23"/>
          <w:szCs w:val="23"/>
          <w:lang w:val="es-AR"/>
        </w:rPr>
        <w:t xml:space="preserve">Criterio Principal: </w:t>
      </w:r>
    </w:p>
    <w:p w:rsidR="002B37DA" w:rsidRDefault="002B37DA" w:rsidP="002B37DA">
      <w:pPr>
        <w:pStyle w:val="Default"/>
        <w:ind w:left="66"/>
        <w:rPr>
          <w:sz w:val="23"/>
          <w:szCs w:val="23"/>
          <w:lang w:val="es-AR"/>
        </w:rPr>
      </w:pPr>
      <w:r w:rsidRPr="009111DE">
        <w:rPr>
          <w:sz w:val="23"/>
          <w:szCs w:val="23"/>
          <w:lang w:val="es-AR"/>
        </w:rPr>
        <w:t>La solución de envasado ha demostrado reducir las pérdidas de alimentos o el desperdicio de alimentos en una cantidad relevante. Las soluciones técnicas pueden ser, por ejemplo, embalajes apropiados (materiales), envases activos e inteligentes, envases de tamaño de porción, envases reutilizables, envases convenientes, procesos y embalajes higiénicos, que prolongan la vida útil.</w:t>
      </w:r>
    </w:p>
    <w:p w:rsidR="002B37DA" w:rsidRPr="009111DE" w:rsidRDefault="002B37DA" w:rsidP="002B37DA">
      <w:pPr>
        <w:pStyle w:val="Default"/>
        <w:ind w:left="66"/>
        <w:rPr>
          <w:sz w:val="23"/>
          <w:szCs w:val="23"/>
          <w:lang w:val="es-AR"/>
        </w:rPr>
      </w:pPr>
    </w:p>
    <w:p w:rsidR="002B37DA" w:rsidRPr="009111DE" w:rsidRDefault="002B37DA" w:rsidP="002B37DA">
      <w:pPr>
        <w:pStyle w:val="Prrafodelista"/>
        <w:numPr>
          <w:ilvl w:val="0"/>
          <w:numId w:val="21"/>
        </w:numPr>
        <w:spacing w:line="240" w:lineRule="auto"/>
        <w:rPr>
          <w:rFonts w:ascii="Calibri" w:hAnsi="Calibri" w:cs="Calibri"/>
          <w:b/>
          <w:color w:val="283481"/>
          <w:sz w:val="23"/>
          <w:szCs w:val="23"/>
          <w:lang w:val="es-AR"/>
        </w:rPr>
      </w:pPr>
      <w:r w:rsidRPr="009111DE">
        <w:rPr>
          <w:rFonts w:ascii="Calibri" w:hAnsi="Calibri" w:cs="Calibri"/>
          <w:b/>
          <w:color w:val="283481"/>
          <w:sz w:val="23"/>
          <w:szCs w:val="23"/>
          <w:lang w:val="es-AR"/>
        </w:rPr>
        <w:t>Criterios Adicionales:</w:t>
      </w:r>
    </w:p>
    <w:p w:rsidR="002B37DA" w:rsidRPr="00DC5C6A" w:rsidRDefault="002B37DA" w:rsidP="002B37DA">
      <w:pPr>
        <w:pStyle w:val="Default"/>
        <w:numPr>
          <w:ilvl w:val="0"/>
          <w:numId w:val="22"/>
        </w:numPr>
        <w:ind w:left="720"/>
        <w:rPr>
          <w:b/>
          <w:color w:val="283481"/>
          <w:sz w:val="23"/>
          <w:szCs w:val="23"/>
          <w:lang w:val="es-AR"/>
        </w:rPr>
      </w:pPr>
      <w:r>
        <w:rPr>
          <w:b/>
          <w:color w:val="283481"/>
          <w:sz w:val="23"/>
          <w:szCs w:val="23"/>
          <w:lang w:val="es-AR"/>
        </w:rPr>
        <w:t>Idóneo, adecuado, conveniente</w:t>
      </w:r>
    </w:p>
    <w:p w:rsidR="002B37DA" w:rsidRDefault="002B37DA" w:rsidP="002B37DA">
      <w:pPr>
        <w:pStyle w:val="Default"/>
        <w:spacing w:after="120"/>
        <w:ind w:left="709"/>
        <w:rPr>
          <w:sz w:val="23"/>
          <w:szCs w:val="23"/>
          <w:lang w:val="es-AR"/>
        </w:rPr>
      </w:pPr>
      <w:r w:rsidRPr="009111DE">
        <w:rPr>
          <w:sz w:val="23"/>
          <w:szCs w:val="23"/>
          <w:lang w:val="es-AR"/>
        </w:rPr>
        <w:t xml:space="preserve">La solución </w:t>
      </w:r>
      <w:r>
        <w:rPr>
          <w:sz w:val="23"/>
          <w:szCs w:val="23"/>
          <w:lang w:val="es-AR"/>
        </w:rPr>
        <w:t xml:space="preserve">propuesta </w:t>
      </w:r>
      <w:r w:rsidRPr="009111DE">
        <w:rPr>
          <w:sz w:val="23"/>
          <w:szCs w:val="23"/>
          <w:lang w:val="es-AR"/>
        </w:rPr>
        <w:t>se ajusta al campo de aplicación</w:t>
      </w:r>
      <w:r>
        <w:rPr>
          <w:sz w:val="23"/>
          <w:szCs w:val="23"/>
          <w:lang w:val="es-AR"/>
        </w:rPr>
        <w:t xml:space="preserve">, </w:t>
      </w:r>
      <w:r w:rsidRPr="009111DE">
        <w:rPr>
          <w:sz w:val="23"/>
          <w:szCs w:val="23"/>
          <w:lang w:val="es-AR"/>
        </w:rPr>
        <w:t xml:space="preserve">cultura </w:t>
      </w:r>
      <w:r>
        <w:rPr>
          <w:sz w:val="23"/>
          <w:szCs w:val="23"/>
          <w:lang w:val="es-AR"/>
        </w:rPr>
        <w:t xml:space="preserve">y/o </w:t>
      </w:r>
      <w:r w:rsidRPr="009111DE">
        <w:rPr>
          <w:sz w:val="23"/>
          <w:szCs w:val="23"/>
          <w:lang w:val="es-AR"/>
        </w:rPr>
        <w:t>estado del desarrollo donde se usa</w:t>
      </w:r>
      <w:r>
        <w:rPr>
          <w:sz w:val="23"/>
          <w:szCs w:val="23"/>
          <w:lang w:val="es-AR"/>
        </w:rPr>
        <w:t xml:space="preserve"> y e</w:t>
      </w:r>
      <w:r w:rsidRPr="009111DE">
        <w:rPr>
          <w:sz w:val="23"/>
          <w:szCs w:val="23"/>
          <w:lang w:val="es-AR"/>
        </w:rPr>
        <w:t>s conveniente para sus usuarios</w:t>
      </w:r>
      <w:r>
        <w:rPr>
          <w:sz w:val="23"/>
          <w:szCs w:val="23"/>
          <w:lang w:val="es-AR"/>
        </w:rPr>
        <w:t>.</w:t>
      </w:r>
    </w:p>
    <w:p w:rsidR="002B37DA" w:rsidRPr="00DC5C6A" w:rsidRDefault="002B37DA" w:rsidP="002B37DA">
      <w:pPr>
        <w:pStyle w:val="Default"/>
        <w:numPr>
          <w:ilvl w:val="0"/>
          <w:numId w:val="22"/>
        </w:numPr>
        <w:ind w:left="720"/>
        <w:rPr>
          <w:b/>
          <w:color w:val="283481"/>
          <w:sz w:val="23"/>
          <w:szCs w:val="23"/>
          <w:lang w:val="es-AR"/>
        </w:rPr>
      </w:pPr>
      <w:r>
        <w:rPr>
          <w:b/>
          <w:color w:val="283481"/>
          <w:sz w:val="23"/>
          <w:szCs w:val="23"/>
          <w:lang w:val="es-AR"/>
        </w:rPr>
        <w:t>Innovador y factible</w:t>
      </w:r>
    </w:p>
    <w:p w:rsidR="002B37DA" w:rsidRPr="009111DE" w:rsidRDefault="002B37DA" w:rsidP="002B37DA">
      <w:pPr>
        <w:pStyle w:val="Default"/>
        <w:spacing w:after="120"/>
        <w:ind w:left="709"/>
        <w:rPr>
          <w:sz w:val="23"/>
          <w:szCs w:val="23"/>
          <w:lang w:val="es-AR"/>
        </w:rPr>
      </w:pPr>
      <w:r>
        <w:rPr>
          <w:sz w:val="23"/>
          <w:szCs w:val="23"/>
          <w:lang w:val="es-AR"/>
        </w:rPr>
        <w:t xml:space="preserve">El envase presenta </w:t>
      </w:r>
      <w:r w:rsidRPr="009111DE">
        <w:rPr>
          <w:sz w:val="23"/>
          <w:szCs w:val="23"/>
          <w:lang w:val="es-AR"/>
        </w:rPr>
        <w:t>una clara innovación en su mercado</w:t>
      </w:r>
      <w:r>
        <w:rPr>
          <w:sz w:val="23"/>
          <w:szCs w:val="23"/>
          <w:lang w:val="es-AR"/>
        </w:rPr>
        <w:t xml:space="preserve">, </w:t>
      </w:r>
      <w:r w:rsidRPr="009111DE">
        <w:rPr>
          <w:sz w:val="23"/>
          <w:szCs w:val="23"/>
          <w:lang w:val="es-AR"/>
        </w:rPr>
        <w:t>es exitosa o muy factible</w:t>
      </w:r>
    </w:p>
    <w:p w:rsidR="002B37DA" w:rsidRPr="00DC5C6A" w:rsidRDefault="002B37DA" w:rsidP="002B37DA">
      <w:pPr>
        <w:pStyle w:val="Default"/>
        <w:numPr>
          <w:ilvl w:val="0"/>
          <w:numId w:val="22"/>
        </w:numPr>
        <w:ind w:left="720"/>
        <w:rPr>
          <w:b/>
          <w:color w:val="283481"/>
          <w:sz w:val="23"/>
          <w:szCs w:val="23"/>
          <w:lang w:val="es-AR"/>
        </w:rPr>
      </w:pPr>
      <w:r>
        <w:rPr>
          <w:b/>
          <w:color w:val="283481"/>
          <w:sz w:val="23"/>
          <w:szCs w:val="23"/>
          <w:lang w:val="es-AR"/>
        </w:rPr>
        <w:t>Sustentable</w:t>
      </w:r>
    </w:p>
    <w:p w:rsidR="002B37DA" w:rsidRPr="009111DE" w:rsidRDefault="002B37DA" w:rsidP="002B37DA">
      <w:pPr>
        <w:pStyle w:val="Default"/>
        <w:spacing w:after="120"/>
        <w:ind w:left="709"/>
        <w:rPr>
          <w:sz w:val="23"/>
          <w:szCs w:val="23"/>
          <w:lang w:val="es-AR"/>
        </w:rPr>
      </w:pPr>
      <w:r w:rsidRPr="009111DE">
        <w:rPr>
          <w:sz w:val="23"/>
          <w:szCs w:val="23"/>
          <w:lang w:val="es-AR"/>
        </w:rPr>
        <w:t xml:space="preserve">El embalaje en sí está optimizado en términos de embalaje sostenible. </w:t>
      </w:r>
      <w:r>
        <w:rPr>
          <w:sz w:val="23"/>
          <w:szCs w:val="23"/>
          <w:lang w:val="es-AR"/>
        </w:rPr>
        <w:t xml:space="preserve">La </w:t>
      </w:r>
      <w:r w:rsidRPr="009111DE">
        <w:rPr>
          <w:sz w:val="23"/>
          <w:szCs w:val="23"/>
          <w:lang w:val="es-AR"/>
        </w:rPr>
        <w:t xml:space="preserve">sostenibilidad de un envase </w:t>
      </w:r>
      <w:r>
        <w:rPr>
          <w:sz w:val="23"/>
          <w:szCs w:val="23"/>
          <w:lang w:val="es-AR"/>
        </w:rPr>
        <w:t xml:space="preserve">se juzgará </w:t>
      </w:r>
      <w:r w:rsidRPr="009111DE">
        <w:rPr>
          <w:sz w:val="23"/>
          <w:szCs w:val="23"/>
          <w:lang w:val="es-AR"/>
        </w:rPr>
        <w:t>en la combinación de embalaje + relleno bueno. "Lo menos posible, tanto como sea necesario".</w:t>
      </w:r>
    </w:p>
    <w:p w:rsidR="002B37DA" w:rsidRPr="00DC5C6A" w:rsidRDefault="002B37DA" w:rsidP="002B37DA">
      <w:pPr>
        <w:pStyle w:val="Default"/>
        <w:numPr>
          <w:ilvl w:val="0"/>
          <w:numId w:val="22"/>
        </w:numPr>
        <w:ind w:left="720"/>
        <w:rPr>
          <w:b/>
          <w:color w:val="283481"/>
          <w:sz w:val="23"/>
          <w:szCs w:val="23"/>
          <w:lang w:val="es-AR"/>
        </w:rPr>
      </w:pPr>
      <w:r w:rsidRPr="00DC5C6A">
        <w:rPr>
          <w:b/>
          <w:color w:val="283481"/>
          <w:sz w:val="23"/>
          <w:szCs w:val="23"/>
          <w:lang w:val="es-AR"/>
        </w:rPr>
        <w:t xml:space="preserve">Comunica a los consumidores que el envase está ahorrando alimentos o reduciendo las pérdidas y/o el </w:t>
      </w:r>
      <w:r>
        <w:rPr>
          <w:b/>
          <w:color w:val="283481"/>
          <w:sz w:val="23"/>
          <w:szCs w:val="23"/>
          <w:lang w:val="es-AR"/>
        </w:rPr>
        <w:t>desperdicio de alimentos</w:t>
      </w:r>
    </w:p>
    <w:p w:rsidR="002B37DA" w:rsidRPr="009111DE" w:rsidRDefault="002B37DA" w:rsidP="002B37DA">
      <w:pPr>
        <w:pStyle w:val="Default"/>
        <w:spacing w:after="120"/>
        <w:ind w:left="709"/>
        <w:rPr>
          <w:sz w:val="23"/>
          <w:szCs w:val="23"/>
          <w:lang w:val="es-AR"/>
        </w:rPr>
      </w:pPr>
      <w:r>
        <w:rPr>
          <w:sz w:val="23"/>
          <w:szCs w:val="23"/>
          <w:lang w:val="es-AR"/>
        </w:rPr>
        <w:t>P</w:t>
      </w:r>
      <w:r w:rsidRPr="009111DE">
        <w:rPr>
          <w:sz w:val="23"/>
          <w:szCs w:val="23"/>
          <w:lang w:val="es-AR"/>
        </w:rPr>
        <w:t xml:space="preserve">romueve la manera correcta de guardar la comida. </w:t>
      </w:r>
      <w:r>
        <w:rPr>
          <w:sz w:val="23"/>
          <w:szCs w:val="23"/>
          <w:lang w:val="es-AR"/>
        </w:rPr>
        <w:t>Cuenta con d</w:t>
      </w:r>
      <w:r w:rsidRPr="009111DE">
        <w:rPr>
          <w:sz w:val="23"/>
          <w:szCs w:val="23"/>
          <w:lang w:val="es-AR"/>
        </w:rPr>
        <w:t>eclaraciones de ahorro de alimentos relevantes y creíbles</w:t>
      </w:r>
      <w:r>
        <w:rPr>
          <w:sz w:val="23"/>
          <w:szCs w:val="23"/>
          <w:lang w:val="es-AR"/>
        </w:rPr>
        <w:t xml:space="preserve"> y contribuye a crear </w:t>
      </w:r>
      <w:r w:rsidRPr="009111DE">
        <w:rPr>
          <w:sz w:val="23"/>
          <w:szCs w:val="23"/>
          <w:lang w:val="es-AR"/>
        </w:rPr>
        <w:t>conciencia.</w:t>
      </w:r>
    </w:p>
    <w:p w:rsidR="002B37DA" w:rsidRPr="00DC5C6A" w:rsidRDefault="002B37DA" w:rsidP="002B37DA">
      <w:pPr>
        <w:pStyle w:val="Default"/>
        <w:numPr>
          <w:ilvl w:val="0"/>
          <w:numId w:val="22"/>
        </w:numPr>
        <w:ind w:left="720"/>
        <w:rPr>
          <w:b/>
          <w:color w:val="283481"/>
          <w:sz w:val="23"/>
          <w:szCs w:val="23"/>
          <w:lang w:val="es-AR"/>
        </w:rPr>
      </w:pPr>
      <w:r w:rsidRPr="00DC5C6A">
        <w:rPr>
          <w:b/>
          <w:color w:val="283481"/>
          <w:sz w:val="23"/>
          <w:szCs w:val="23"/>
          <w:lang w:val="es-AR"/>
        </w:rPr>
        <w:t xml:space="preserve">Benéfico </w:t>
      </w:r>
      <w:r>
        <w:rPr>
          <w:b/>
          <w:color w:val="283481"/>
          <w:sz w:val="23"/>
          <w:szCs w:val="23"/>
          <w:lang w:val="es-AR"/>
        </w:rPr>
        <w:t>para la sociedad</w:t>
      </w:r>
    </w:p>
    <w:p w:rsidR="002B37DA" w:rsidRDefault="002B37DA" w:rsidP="002B37DA">
      <w:pPr>
        <w:pStyle w:val="Default"/>
        <w:ind w:left="709"/>
        <w:rPr>
          <w:sz w:val="23"/>
          <w:szCs w:val="23"/>
          <w:lang w:val="es-AR"/>
        </w:rPr>
      </w:pPr>
      <w:r>
        <w:rPr>
          <w:sz w:val="23"/>
          <w:szCs w:val="23"/>
          <w:lang w:val="es-AR"/>
        </w:rPr>
        <w:t xml:space="preserve">Educa </w:t>
      </w:r>
      <w:r w:rsidRPr="009111DE">
        <w:rPr>
          <w:sz w:val="23"/>
          <w:szCs w:val="23"/>
          <w:lang w:val="es-AR"/>
        </w:rPr>
        <w:t xml:space="preserve">a los usuarios (finales) sobre el valor de las </w:t>
      </w:r>
      <w:r>
        <w:rPr>
          <w:sz w:val="23"/>
          <w:szCs w:val="23"/>
          <w:lang w:val="es-AR"/>
        </w:rPr>
        <w:t xml:space="preserve">buenas </w:t>
      </w:r>
      <w:r w:rsidRPr="009111DE">
        <w:rPr>
          <w:sz w:val="23"/>
          <w:szCs w:val="23"/>
          <w:lang w:val="es-AR"/>
        </w:rPr>
        <w:t xml:space="preserve">prácticas </w:t>
      </w:r>
      <w:r>
        <w:rPr>
          <w:sz w:val="23"/>
          <w:szCs w:val="23"/>
          <w:lang w:val="es-AR"/>
        </w:rPr>
        <w:t xml:space="preserve">en el </w:t>
      </w:r>
      <w:r w:rsidRPr="009111DE">
        <w:rPr>
          <w:sz w:val="23"/>
          <w:szCs w:val="23"/>
          <w:lang w:val="es-AR"/>
        </w:rPr>
        <w:t>ahorro de alimentos.</w:t>
      </w:r>
    </w:p>
    <w:p w:rsidR="002B37DA" w:rsidRDefault="002B37DA" w:rsidP="002B37DA">
      <w:pPr>
        <w:pStyle w:val="Default"/>
        <w:ind w:left="709"/>
        <w:rPr>
          <w:sz w:val="23"/>
          <w:szCs w:val="23"/>
          <w:lang w:val="es-AR"/>
        </w:rPr>
      </w:pPr>
    </w:p>
    <w:p w:rsidR="002B37DA" w:rsidRDefault="002B37DA" w:rsidP="001C6F06">
      <w:pPr>
        <w:pStyle w:val="Default"/>
        <w:rPr>
          <w:sz w:val="23"/>
          <w:szCs w:val="23"/>
          <w:lang w:val="es-AR"/>
        </w:rPr>
      </w:pPr>
    </w:p>
    <w:p w:rsidR="001C6F06" w:rsidRDefault="001C6F06" w:rsidP="001C6F06">
      <w:pPr>
        <w:pStyle w:val="Default"/>
        <w:rPr>
          <w:sz w:val="23"/>
          <w:szCs w:val="23"/>
          <w:lang w:val="es-AR"/>
        </w:rPr>
      </w:pPr>
    </w:p>
    <w:p w:rsidR="002B37DA" w:rsidRPr="009111DE" w:rsidRDefault="002B37DA" w:rsidP="002B37DA">
      <w:pPr>
        <w:pStyle w:val="Default"/>
        <w:rPr>
          <w:b/>
          <w:bCs/>
          <w:sz w:val="28"/>
          <w:szCs w:val="23"/>
          <w:lang w:val="es-AR"/>
        </w:rPr>
      </w:pPr>
      <w:r w:rsidRPr="009111DE">
        <w:rPr>
          <w:b/>
          <w:bCs/>
          <w:sz w:val="28"/>
          <w:szCs w:val="23"/>
          <w:lang w:val="es-AR"/>
        </w:rPr>
        <w:lastRenderedPageBreak/>
        <w:t>Sustentabilidad</w:t>
      </w:r>
    </w:p>
    <w:p w:rsidR="002B37DA" w:rsidRPr="009111DE" w:rsidRDefault="002B37DA" w:rsidP="002B37DA">
      <w:pPr>
        <w:pStyle w:val="Default"/>
        <w:rPr>
          <w:sz w:val="23"/>
          <w:szCs w:val="23"/>
          <w:lang w:val="es-AR"/>
        </w:rPr>
      </w:pPr>
      <w:r w:rsidRPr="009111DE">
        <w:rPr>
          <w:sz w:val="23"/>
          <w:szCs w:val="23"/>
          <w:lang w:val="es-AR"/>
        </w:rPr>
        <w:t>Se valorará al envase que genera una disminución de impacto considerable en el medio ambiente</w:t>
      </w:r>
    </w:p>
    <w:p w:rsidR="002B37DA" w:rsidRPr="009111DE" w:rsidRDefault="002B37DA" w:rsidP="002B37DA">
      <w:pPr>
        <w:pStyle w:val="Default"/>
        <w:rPr>
          <w:sz w:val="23"/>
          <w:szCs w:val="23"/>
          <w:lang w:val="es-AR"/>
        </w:rPr>
      </w:pPr>
      <w:r w:rsidRPr="009111DE">
        <w:rPr>
          <w:sz w:val="23"/>
          <w:szCs w:val="23"/>
          <w:lang w:val="es-AR"/>
        </w:rPr>
        <w:t>comparado con otros de la misma categoría.</w:t>
      </w:r>
      <w:r>
        <w:rPr>
          <w:sz w:val="23"/>
          <w:szCs w:val="23"/>
          <w:lang w:val="es-AR"/>
        </w:rPr>
        <w:t xml:space="preserve"> </w:t>
      </w:r>
      <w:r w:rsidRPr="009111DE">
        <w:rPr>
          <w:sz w:val="23"/>
          <w:szCs w:val="23"/>
          <w:lang w:val="es-AR"/>
        </w:rPr>
        <w:t xml:space="preserve">Se debe </w:t>
      </w:r>
      <w:r>
        <w:rPr>
          <w:sz w:val="23"/>
          <w:szCs w:val="23"/>
          <w:lang w:val="es-AR"/>
        </w:rPr>
        <w:t xml:space="preserve">comparar el envase / embalaje </w:t>
      </w:r>
      <w:r w:rsidRPr="009111DE">
        <w:rPr>
          <w:sz w:val="23"/>
          <w:szCs w:val="23"/>
          <w:lang w:val="es-AR"/>
        </w:rPr>
        <w:t xml:space="preserve">con otros de la misma categoría o contra la versión anterior del mismo envase, </w:t>
      </w:r>
      <w:r>
        <w:rPr>
          <w:sz w:val="23"/>
          <w:szCs w:val="23"/>
          <w:lang w:val="es-AR"/>
        </w:rPr>
        <w:t xml:space="preserve">para poder evaluar la disminución del impacto en el medio ambiente </w:t>
      </w:r>
      <w:r w:rsidRPr="009111DE">
        <w:rPr>
          <w:sz w:val="23"/>
          <w:szCs w:val="23"/>
          <w:lang w:val="es-AR"/>
        </w:rPr>
        <w:t>a partir de la</w:t>
      </w:r>
      <w:r>
        <w:rPr>
          <w:sz w:val="23"/>
          <w:szCs w:val="23"/>
          <w:lang w:val="es-AR"/>
        </w:rPr>
        <w:t xml:space="preserve"> </w:t>
      </w:r>
      <w:r w:rsidRPr="009111DE">
        <w:rPr>
          <w:sz w:val="23"/>
          <w:szCs w:val="23"/>
          <w:lang w:val="es-AR"/>
        </w:rPr>
        <w:t>innovación y la responsabilidad ambiental de la empresa.</w:t>
      </w:r>
    </w:p>
    <w:p w:rsidR="002B37DA" w:rsidRDefault="002B37DA" w:rsidP="002B37DA">
      <w:pPr>
        <w:pStyle w:val="Default"/>
        <w:rPr>
          <w:sz w:val="23"/>
          <w:szCs w:val="23"/>
          <w:lang w:val="es-AR"/>
        </w:rPr>
      </w:pPr>
      <w:r w:rsidRPr="009111DE">
        <w:rPr>
          <w:sz w:val="23"/>
          <w:szCs w:val="23"/>
          <w:lang w:val="es-AR"/>
        </w:rPr>
        <w:t xml:space="preserve">Se valorarán las presentaciones de acuerdo </w:t>
      </w:r>
      <w:r>
        <w:rPr>
          <w:sz w:val="23"/>
          <w:szCs w:val="23"/>
          <w:lang w:val="es-AR"/>
        </w:rPr>
        <w:t>con</w:t>
      </w:r>
      <w:r w:rsidRPr="009111DE">
        <w:rPr>
          <w:sz w:val="23"/>
          <w:szCs w:val="23"/>
          <w:lang w:val="es-AR"/>
        </w:rPr>
        <w:t xml:space="preserve"> los siguientes criterios:</w:t>
      </w:r>
    </w:p>
    <w:p w:rsidR="002B37DA" w:rsidRPr="009111DE" w:rsidRDefault="002B37DA" w:rsidP="002B37DA">
      <w:pPr>
        <w:pStyle w:val="Default"/>
        <w:rPr>
          <w:sz w:val="23"/>
          <w:szCs w:val="23"/>
          <w:lang w:val="es-AR"/>
        </w:rPr>
      </w:pPr>
    </w:p>
    <w:p w:rsidR="002B37DA" w:rsidRPr="00937B3B" w:rsidRDefault="002B37DA" w:rsidP="002B37DA">
      <w:pPr>
        <w:pStyle w:val="Default"/>
        <w:numPr>
          <w:ilvl w:val="0"/>
          <w:numId w:val="3"/>
        </w:numPr>
        <w:spacing w:line="276" w:lineRule="auto"/>
        <w:ind w:left="306" w:hanging="306"/>
        <w:rPr>
          <w:lang w:val="es-AR"/>
        </w:rPr>
      </w:pPr>
      <w:r w:rsidRPr="00937B3B">
        <w:rPr>
          <w:lang w:val="es-AR"/>
        </w:rPr>
        <w:t>Peso y optimización del Packaging</w:t>
      </w:r>
    </w:p>
    <w:p w:rsidR="002B37DA" w:rsidRPr="00937B3B" w:rsidRDefault="002B37DA" w:rsidP="002B37DA">
      <w:pPr>
        <w:pStyle w:val="Default"/>
        <w:numPr>
          <w:ilvl w:val="0"/>
          <w:numId w:val="3"/>
        </w:numPr>
        <w:spacing w:line="276" w:lineRule="auto"/>
        <w:ind w:left="306" w:hanging="306"/>
        <w:rPr>
          <w:lang w:val="es-AR"/>
        </w:rPr>
      </w:pPr>
      <w:r w:rsidRPr="00937B3B">
        <w:rPr>
          <w:lang w:val="es-AR"/>
        </w:rPr>
        <w:t>Relación peso packaging/producto</w:t>
      </w:r>
    </w:p>
    <w:p w:rsidR="002B37DA" w:rsidRPr="00937B3B" w:rsidRDefault="002B37DA" w:rsidP="002B37DA">
      <w:pPr>
        <w:pStyle w:val="Default"/>
        <w:numPr>
          <w:ilvl w:val="0"/>
          <w:numId w:val="3"/>
        </w:numPr>
        <w:spacing w:line="276" w:lineRule="auto"/>
        <w:ind w:left="306" w:hanging="306"/>
        <w:rPr>
          <w:lang w:val="es-AR"/>
        </w:rPr>
      </w:pPr>
      <w:r w:rsidRPr="00937B3B">
        <w:rPr>
          <w:lang w:val="es-AR"/>
        </w:rPr>
        <w:t>Contenido Reciclado</w:t>
      </w:r>
    </w:p>
    <w:p w:rsidR="002B37DA" w:rsidRPr="00937B3B" w:rsidRDefault="002B37DA" w:rsidP="002B37DA">
      <w:pPr>
        <w:pStyle w:val="Default"/>
        <w:numPr>
          <w:ilvl w:val="0"/>
          <w:numId w:val="3"/>
        </w:numPr>
        <w:spacing w:line="276" w:lineRule="auto"/>
        <w:ind w:left="306" w:hanging="306"/>
        <w:rPr>
          <w:lang w:val="es-AR"/>
        </w:rPr>
      </w:pPr>
      <w:r w:rsidRPr="00937B3B">
        <w:rPr>
          <w:lang w:val="es-AR"/>
        </w:rPr>
        <w:t>Contenido Renovable</w:t>
      </w:r>
    </w:p>
    <w:p w:rsidR="002B37DA" w:rsidRPr="00937B3B" w:rsidRDefault="002B37DA" w:rsidP="002B37DA">
      <w:pPr>
        <w:pStyle w:val="Default"/>
        <w:numPr>
          <w:ilvl w:val="0"/>
          <w:numId w:val="3"/>
        </w:numPr>
        <w:spacing w:line="276" w:lineRule="auto"/>
        <w:ind w:left="306" w:hanging="306"/>
        <w:rPr>
          <w:lang w:val="es-AR"/>
        </w:rPr>
      </w:pPr>
      <w:r w:rsidRPr="00937B3B">
        <w:rPr>
          <w:lang w:val="es-AR"/>
        </w:rPr>
        <w:t>Sustancias peligrosas para el ambiente (*)</w:t>
      </w:r>
    </w:p>
    <w:p w:rsidR="002B37DA" w:rsidRPr="00937B3B" w:rsidRDefault="002B37DA" w:rsidP="002B37DA">
      <w:pPr>
        <w:pStyle w:val="Default"/>
        <w:numPr>
          <w:ilvl w:val="0"/>
          <w:numId w:val="3"/>
        </w:numPr>
        <w:spacing w:line="276" w:lineRule="auto"/>
        <w:ind w:left="306" w:hanging="306"/>
        <w:rPr>
          <w:lang w:val="es-AR"/>
        </w:rPr>
      </w:pPr>
      <w:r w:rsidRPr="00937B3B">
        <w:rPr>
          <w:lang w:val="es-AR"/>
        </w:rPr>
        <w:t>Reciclabilidad</w:t>
      </w:r>
    </w:p>
    <w:p w:rsidR="002B37DA" w:rsidRPr="00937B3B" w:rsidRDefault="002B37DA" w:rsidP="002B37DA">
      <w:pPr>
        <w:pStyle w:val="Default"/>
        <w:numPr>
          <w:ilvl w:val="0"/>
          <w:numId w:val="3"/>
        </w:numPr>
        <w:spacing w:line="276" w:lineRule="auto"/>
        <w:ind w:left="306" w:hanging="306"/>
        <w:rPr>
          <w:lang w:val="es-AR"/>
        </w:rPr>
      </w:pPr>
      <w:r w:rsidRPr="00937B3B">
        <w:rPr>
          <w:lang w:val="es-AR"/>
        </w:rPr>
        <w:t>Uso del Cubo</w:t>
      </w:r>
    </w:p>
    <w:p w:rsidR="002B37DA" w:rsidRPr="00937B3B" w:rsidRDefault="002B37DA" w:rsidP="002B37DA">
      <w:pPr>
        <w:pStyle w:val="Default"/>
        <w:numPr>
          <w:ilvl w:val="0"/>
          <w:numId w:val="3"/>
        </w:numPr>
        <w:spacing w:line="276" w:lineRule="auto"/>
        <w:ind w:left="284" w:hanging="284"/>
        <w:rPr>
          <w:lang w:val="es-AR"/>
        </w:rPr>
      </w:pPr>
      <w:r w:rsidRPr="00937B3B">
        <w:rPr>
          <w:lang w:val="es-AR"/>
        </w:rPr>
        <w:t>Tasa de Reutilización del Packaging</w:t>
      </w:r>
    </w:p>
    <w:p w:rsidR="002B37DA" w:rsidRPr="009111DE" w:rsidRDefault="002B37DA" w:rsidP="002B37DA">
      <w:pPr>
        <w:pStyle w:val="Default"/>
        <w:spacing w:line="276" w:lineRule="auto"/>
        <w:ind w:left="-54"/>
        <w:rPr>
          <w:sz w:val="23"/>
          <w:szCs w:val="23"/>
          <w:lang w:val="es-AR"/>
        </w:rPr>
      </w:pPr>
    </w:p>
    <w:p w:rsidR="002B37DA" w:rsidRPr="009111DE" w:rsidRDefault="002B37DA" w:rsidP="002B37DA">
      <w:pPr>
        <w:pStyle w:val="Default"/>
        <w:rPr>
          <w:i/>
          <w:iCs/>
          <w:sz w:val="23"/>
          <w:szCs w:val="23"/>
          <w:lang w:val="es-AR"/>
        </w:rPr>
      </w:pPr>
      <w:r w:rsidRPr="009111DE">
        <w:rPr>
          <w:i/>
          <w:iCs/>
          <w:sz w:val="23"/>
          <w:szCs w:val="23"/>
          <w:lang w:val="es-AR"/>
        </w:rPr>
        <w:t>(*) puntaje inverso e invalidante potencial.</w:t>
      </w:r>
    </w:p>
    <w:p w:rsidR="007D29F9" w:rsidRDefault="007D29F9" w:rsidP="001C6F06">
      <w:pPr>
        <w:pStyle w:val="Default"/>
        <w:rPr>
          <w:sz w:val="23"/>
          <w:szCs w:val="23"/>
          <w:lang w:val="es-AR"/>
        </w:rPr>
      </w:pPr>
    </w:p>
    <w:p w:rsidR="002B37DA" w:rsidRPr="001C6F06" w:rsidRDefault="002B37DA" w:rsidP="001C6F06">
      <w:pPr>
        <w:pStyle w:val="Default"/>
        <w:rPr>
          <w:sz w:val="23"/>
          <w:szCs w:val="23"/>
          <w:lang w:val="es-AR"/>
        </w:rPr>
      </w:pPr>
    </w:p>
    <w:p w:rsidR="001C6F06" w:rsidRPr="003C6C02" w:rsidRDefault="001C6F06" w:rsidP="001C6F06">
      <w:pPr>
        <w:pStyle w:val="Default"/>
        <w:rPr>
          <w:sz w:val="28"/>
          <w:szCs w:val="23"/>
          <w:lang w:val="es-AR"/>
        </w:rPr>
      </w:pPr>
      <w:r w:rsidRPr="003C6C02">
        <w:rPr>
          <w:b/>
          <w:bCs/>
          <w:sz w:val="28"/>
          <w:szCs w:val="23"/>
          <w:lang w:val="es-AR"/>
        </w:rPr>
        <w:t xml:space="preserve">7) Mención especial: envase nacional de exportación </w:t>
      </w:r>
    </w:p>
    <w:p w:rsidR="001C6F06" w:rsidRDefault="001C6F06" w:rsidP="001C6F06">
      <w:pPr>
        <w:pStyle w:val="Default"/>
        <w:rPr>
          <w:sz w:val="23"/>
          <w:szCs w:val="23"/>
          <w:lang w:val="es-AR"/>
        </w:rPr>
      </w:pPr>
      <w:r w:rsidRPr="001C6F06">
        <w:rPr>
          <w:sz w:val="23"/>
          <w:szCs w:val="23"/>
          <w:lang w:val="es-AR"/>
        </w:rPr>
        <w:t xml:space="preserve">El objetivo de esta mención es dar un reconocimiento a aquellos desarrollos locales destinados a mercados extranjeros. Los envases participantes en esta categoría recibirán menciones que no los habilitan a participar de los World Star Awards. </w:t>
      </w:r>
    </w:p>
    <w:p w:rsidR="007D29F9" w:rsidRDefault="007D29F9" w:rsidP="001C6F06">
      <w:pPr>
        <w:pStyle w:val="Default"/>
        <w:rPr>
          <w:sz w:val="23"/>
          <w:szCs w:val="23"/>
          <w:lang w:val="es-AR"/>
        </w:rPr>
      </w:pPr>
    </w:p>
    <w:p w:rsidR="001C6F06" w:rsidRPr="001C6F06" w:rsidRDefault="001C6F06" w:rsidP="001C6F06">
      <w:pPr>
        <w:pStyle w:val="Default"/>
        <w:rPr>
          <w:sz w:val="23"/>
          <w:szCs w:val="23"/>
          <w:lang w:val="es-AR"/>
        </w:rPr>
      </w:pPr>
    </w:p>
    <w:p w:rsidR="001C6F06" w:rsidRPr="003C6C02" w:rsidRDefault="001C6F06" w:rsidP="001C6F06">
      <w:pPr>
        <w:pStyle w:val="Default"/>
        <w:rPr>
          <w:sz w:val="28"/>
          <w:szCs w:val="23"/>
          <w:lang w:val="es-AR"/>
        </w:rPr>
      </w:pPr>
      <w:r w:rsidRPr="003C6C02">
        <w:rPr>
          <w:b/>
          <w:bCs/>
          <w:sz w:val="28"/>
          <w:szCs w:val="23"/>
          <w:lang w:val="es-AR"/>
        </w:rPr>
        <w:t>8) Votación</w:t>
      </w:r>
      <w:r w:rsidR="007D29F9">
        <w:rPr>
          <w:b/>
          <w:bCs/>
          <w:sz w:val="28"/>
          <w:szCs w:val="23"/>
          <w:lang w:val="es-AR"/>
        </w:rPr>
        <w:t xml:space="preserve"> y Elección de los ganadores</w:t>
      </w:r>
    </w:p>
    <w:p w:rsidR="001C6F06" w:rsidRPr="001C6F06" w:rsidRDefault="001C6F06" w:rsidP="001C6F06">
      <w:pPr>
        <w:pStyle w:val="Default"/>
        <w:rPr>
          <w:sz w:val="23"/>
          <w:szCs w:val="23"/>
          <w:lang w:val="es-AR"/>
        </w:rPr>
      </w:pPr>
      <w:r w:rsidRPr="001C6F06">
        <w:rPr>
          <w:sz w:val="23"/>
          <w:szCs w:val="23"/>
          <w:lang w:val="es-AR"/>
        </w:rPr>
        <w:t xml:space="preserve">La elección de las menciones y de los envases ganadores de cada categoría estará a cargo de un jurado de profesionales del sector, con reconocida trayectoria. </w:t>
      </w:r>
    </w:p>
    <w:p w:rsidR="001C6F06" w:rsidRPr="001C6F06" w:rsidRDefault="001C6F06" w:rsidP="001C6F06">
      <w:pPr>
        <w:pStyle w:val="Default"/>
        <w:rPr>
          <w:sz w:val="23"/>
          <w:szCs w:val="23"/>
          <w:lang w:val="es-AR"/>
        </w:rPr>
      </w:pPr>
      <w:r w:rsidRPr="001C6F06">
        <w:rPr>
          <w:sz w:val="23"/>
          <w:szCs w:val="23"/>
          <w:lang w:val="es-AR"/>
        </w:rPr>
        <w:t xml:space="preserve">Entre los elegidos por el jurado se seleccionará el “Estrella del Sur de ORO”. </w:t>
      </w:r>
    </w:p>
    <w:p w:rsidR="001C6F06" w:rsidRDefault="001C6F06" w:rsidP="001C6F06">
      <w:pPr>
        <w:pStyle w:val="Default"/>
        <w:rPr>
          <w:sz w:val="23"/>
          <w:szCs w:val="23"/>
          <w:lang w:val="es-AR"/>
        </w:rPr>
      </w:pPr>
      <w:r w:rsidRPr="001C6F06">
        <w:rPr>
          <w:sz w:val="23"/>
          <w:szCs w:val="23"/>
          <w:lang w:val="es-AR"/>
        </w:rPr>
        <w:t>El público tendrá la opción de elegir sus envase</w:t>
      </w:r>
      <w:r w:rsidR="00EA7854">
        <w:rPr>
          <w:sz w:val="23"/>
          <w:szCs w:val="23"/>
          <w:lang w:val="es-AR"/>
        </w:rPr>
        <w:t>s preferidos en dos instancias:</w:t>
      </w:r>
    </w:p>
    <w:p w:rsidR="00EA7854" w:rsidRPr="001C6F06" w:rsidRDefault="00EA7854" w:rsidP="001C6F06">
      <w:pPr>
        <w:pStyle w:val="Default"/>
        <w:rPr>
          <w:sz w:val="23"/>
          <w:szCs w:val="23"/>
          <w:lang w:val="es-AR"/>
        </w:rPr>
      </w:pPr>
    </w:p>
    <w:p w:rsidR="001C6F06" w:rsidRPr="001C6F06" w:rsidRDefault="001C6F06" w:rsidP="007D29F9">
      <w:pPr>
        <w:pStyle w:val="Default"/>
        <w:numPr>
          <w:ilvl w:val="0"/>
          <w:numId w:val="11"/>
        </w:numPr>
        <w:spacing w:after="142"/>
        <w:ind w:left="426"/>
        <w:rPr>
          <w:sz w:val="23"/>
          <w:szCs w:val="23"/>
          <w:lang w:val="es-AR"/>
        </w:rPr>
      </w:pPr>
      <w:r w:rsidRPr="001C6F06">
        <w:rPr>
          <w:sz w:val="23"/>
          <w:szCs w:val="23"/>
          <w:lang w:val="es-AR"/>
        </w:rPr>
        <w:t xml:space="preserve">Votando entre los envases exhibidos durante la Exposición ENVASE que se realizará del 3 al 6 de octubre en Centro Costa Salguero de la Ciudad de Buenos Aires. El ganador de esta votación será acreedor a la mención “Voto del Público”. Los envases presentados hasta esta instancia pueden seguir en concurso o ser dados de baja por la empresa participante hasta el 31 de diciembre de 2023. </w:t>
      </w:r>
    </w:p>
    <w:p w:rsidR="001C6F06" w:rsidRDefault="001C6F06" w:rsidP="007D29F9">
      <w:pPr>
        <w:pStyle w:val="Default"/>
        <w:numPr>
          <w:ilvl w:val="0"/>
          <w:numId w:val="11"/>
        </w:numPr>
        <w:ind w:left="426"/>
        <w:rPr>
          <w:sz w:val="23"/>
          <w:szCs w:val="23"/>
          <w:lang w:val="es-AR"/>
        </w:rPr>
      </w:pPr>
      <w:r w:rsidRPr="001C6F06">
        <w:rPr>
          <w:sz w:val="23"/>
          <w:szCs w:val="23"/>
          <w:lang w:val="es-AR"/>
        </w:rPr>
        <w:t xml:space="preserve">Votando a través de las redes sociales del Instituto Argentino del Envase. El ganador de esta votación recibirá una mención especial, “Voto en Redes”. Esta opción se habilitará en el mes de julio de 2024 y permanecerá disponible hasta el 31 de agosto de 2024. </w:t>
      </w:r>
    </w:p>
    <w:p w:rsidR="00EA7854" w:rsidRDefault="00EA7854" w:rsidP="00EA7854">
      <w:pPr>
        <w:pStyle w:val="Default"/>
        <w:rPr>
          <w:sz w:val="23"/>
          <w:szCs w:val="23"/>
          <w:lang w:val="es-AR"/>
        </w:rPr>
      </w:pPr>
    </w:p>
    <w:p w:rsidR="001C6F06" w:rsidRPr="003C6C02" w:rsidRDefault="001C6F06" w:rsidP="001C6F06">
      <w:pPr>
        <w:pStyle w:val="Default"/>
        <w:rPr>
          <w:sz w:val="28"/>
          <w:szCs w:val="23"/>
          <w:lang w:val="es-AR"/>
        </w:rPr>
      </w:pPr>
      <w:r w:rsidRPr="003C6C02">
        <w:rPr>
          <w:b/>
          <w:bCs/>
          <w:sz w:val="28"/>
          <w:szCs w:val="23"/>
          <w:lang w:val="es-AR"/>
        </w:rPr>
        <w:t>9) Entrega de premios</w:t>
      </w:r>
      <w:r w:rsidR="007D29F9">
        <w:rPr>
          <w:b/>
          <w:bCs/>
          <w:sz w:val="28"/>
          <w:szCs w:val="23"/>
          <w:lang w:val="es-AR"/>
        </w:rPr>
        <w:t xml:space="preserve"> y Ceremonia</w:t>
      </w:r>
    </w:p>
    <w:p w:rsidR="001C6F06" w:rsidRPr="001C6F06" w:rsidRDefault="001C6F06" w:rsidP="001C6F06">
      <w:pPr>
        <w:pStyle w:val="Default"/>
        <w:rPr>
          <w:sz w:val="23"/>
          <w:szCs w:val="23"/>
          <w:lang w:val="es-AR"/>
        </w:rPr>
      </w:pPr>
      <w:r w:rsidRPr="001C6F06">
        <w:rPr>
          <w:sz w:val="23"/>
          <w:szCs w:val="23"/>
          <w:lang w:val="es-AR"/>
        </w:rPr>
        <w:t xml:space="preserve">Se realizará en lugar y fecha a determinar. Luego de la ceremonia, los envases ganadores serán exhibidos en la página web del Instituto Argentino del Envase, </w:t>
      </w:r>
      <w:r w:rsidRPr="00C47DA4">
        <w:rPr>
          <w:sz w:val="23"/>
          <w:szCs w:val="23"/>
          <w:lang w:val="es-AR"/>
        </w:rPr>
        <w:t xml:space="preserve">www.packaging.com.ar </w:t>
      </w:r>
      <w:r w:rsidRPr="001C6F06">
        <w:rPr>
          <w:sz w:val="23"/>
          <w:szCs w:val="23"/>
          <w:lang w:val="es-AR"/>
        </w:rPr>
        <w:t xml:space="preserve">y en notas de prensa de revistas especializadas. </w:t>
      </w:r>
    </w:p>
    <w:p w:rsidR="001C6F06" w:rsidRPr="001C6F06" w:rsidRDefault="001C6F06" w:rsidP="001C6F06">
      <w:pPr>
        <w:pStyle w:val="Default"/>
        <w:rPr>
          <w:sz w:val="23"/>
          <w:szCs w:val="23"/>
          <w:lang w:val="es-AR"/>
        </w:rPr>
      </w:pPr>
      <w:r w:rsidRPr="001C6F06">
        <w:rPr>
          <w:sz w:val="23"/>
          <w:szCs w:val="23"/>
          <w:lang w:val="es-AR"/>
        </w:rPr>
        <w:t xml:space="preserve">Los ganadores de cada categoría podrán utilizar el logo del concurso en los envases ganadores. </w:t>
      </w:r>
    </w:p>
    <w:p w:rsidR="001C6F06" w:rsidRDefault="001C6F06" w:rsidP="001C6F06">
      <w:pPr>
        <w:pStyle w:val="Default"/>
        <w:rPr>
          <w:sz w:val="23"/>
          <w:szCs w:val="23"/>
          <w:lang w:val="es-AR"/>
        </w:rPr>
      </w:pPr>
      <w:r w:rsidRPr="001C6F06">
        <w:rPr>
          <w:sz w:val="23"/>
          <w:szCs w:val="23"/>
          <w:lang w:val="es-AR"/>
        </w:rPr>
        <w:t xml:space="preserve">La premiación se realizará en octubre/noviembre de 2024, en lugar a definir. </w:t>
      </w:r>
    </w:p>
    <w:p w:rsidR="007D29F9" w:rsidRDefault="007D29F9" w:rsidP="001C6F06">
      <w:pPr>
        <w:pStyle w:val="Default"/>
        <w:rPr>
          <w:sz w:val="23"/>
          <w:szCs w:val="23"/>
          <w:lang w:val="es-AR"/>
        </w:rPr>
      </w:pPr>
    </w:p>
    <w:p w:rsidR="001C6F06" w:rsidRPr="001C6F06" w:rsidRDefault="001C6F06" w:rsidP="001C6F06">
      <w:pPr>
        <w:pStyle w:val="Default"/>
        <w:rPr>
          <w:sz w:val="23"/>
          <w:szCs w:val="23"/>
          <w:lang w:val="es-AR"/>
        </w:rPr>
      </w:pPr>
    </w:p>
    <w:p w:rsidR="002B37DA" w:rsidRDefault="001C6F06" w:rsidP="001C6F06">
      <w:pPr>
        <w:pStyle w:val="Default"/>
        <w:rPr>
          <w:b/>
          <w:bCs/>
          <w:sz w:val="28"/>
          <w:szCs w:val="23"/>
          <w:lang w:val="es-AR"/>
        </w:rPr>
      </w:pPr>
      <w:r w:rsidRPr="003C6C02">
        <w:rPr>
          <w:b/>
          <w:bCs/>
          <w:sz w:val="28"/>
          <w:szCs w:val="23"/>
          <w:lang w:val="es-AR"/>
        </w:rPr>
        <w:t>1</w:t>
      </w:r>
      <w:r w:rsidR="002B37DA">
        <w:rPr>
          <w:b/>
          <w:bCs/>
          <w:sz w:val="28"/>
          <w:szCs w:val="23"/>
          <w:lang w:val="es-AR"/>
        </w:rPr>
        <w:t>0) Condiciones de participación</w:t>
      </w:r>
    </w:p>
    <w:p w:rsidR="002B37DA" w:rsidRPr="002B37DA" w:rsidRDefault="002B37DA" w:rsidP="001C6F06">
      <w:pPr>
        <w:pStyle w:val="Default"/>
        <w:rPr>
          <w:b/>
          <w:bCs/>
          <w:sz w:val="28"/>
          <w:szCs w:val="23"/>
          <w:lang w:val="es-AR"/>
        </w:rPr>
      </w:pPr>
    </w:p>
    <w:p w:rsidR="007D29F9" w:rsidRPr="007D29F9" w:rsidRDefault="001C6F06" w:rsidP="007D29F9">
      <w:pPr>
        <w:pStyle w:val="Default"/>
        <w:numPr>
          <w:ilvl w:val="0"/>
          <w:numId w:val="18"/>
        </w:numPr>
        <w:spacing w:after="240"/>
        <w:rPr>
          <w:sz w:val="23"/>
          <w:szCs w:val="23"/>
          <w:lang w:val="es-AR"/>
        </w:rPr>
      </w:pPr>
      <w:r w:rsidRPr="007D29F9">
        <w:rPr>
          <w:sz w:val="23"/>
          <w:szCs w:val="23"/>
          <w:lang w:val="es-AR"/>
        </w:rPr>
        <w:t xml:space="preserve">Los participantes aceptan las decisiones del jurado en todo lo aquí estipulado y las resoluciones que el Comité Organizador tome sobre situaciones no contempladas en las bases. Todas estas decisiones son de carácter inapelable. </w:t>
      </w:r>
    </w:p>
    <w:p w:rsidR="007D29F9" w:rsidRPr="007D29F9" w:rsidRDefault="001C6F06" w:rsidP="007D29F9">
      <w:pPr>
        <w:pStyle w:val="Default"/>
        <w:numPr>
          <w:ilvl w:val="0"/>
          <w:numId w:val="18"/>
        </w:numPr>
        <w:spacing w:after="240"/>
        <w:rPr>
          <w:sz w:val="23"/>
          <w:szCs w:val="23"/>
          <w:lang w:val="es-AR"/>
        </w:rPr>
      </w:pPr>
      <w:r w:rsidRPr="007D29F9">
        <w:rPr>
          <w:sz w:val="23"/>
          <w:szCs w:val="23"/>
          <w:lang w:val="es-AR"/>
        </w:rPr>
        <w:t xml:space="preserve">La participación en el concurso implica el conocimiento y la aceptación de las bases. </w:t>
      </w:r>
    </w:p>
    <w:p w:rsidR="007D29F9" w:rsidRPr="007D29F9" w:rsidRDefault="001C6F06" w:rsidP="007D29F9">
      <w:pPr>
        <w:pStyle w:val="Default"/>
        <w:numPr>
          <w:ilvl w:val="0"/>
          <w:numId w:val="18"/>
        </w:numPr>
        <w:spacing w:after="240"/>
        <w:rPr>
          <w:sz w:val="23"/>
          <w:szCs w:val="23"/>
          <w:lang w:val="es-AR"/>
        </w:rPr>
      </w:pPr>
      <w:r w:rsidRPr="007D29F9">
        <w:rPr>
          <w:sz w:val="23"/>
          <w:szCs w:val="23"/>
          <w:lang w:val="es-AR"/>
        </w:rPr>
        <w:t xml:space="preserve">Las presentaciones recibidas tienen carácter de declaración jurada y serán tratadas por la organización con total confidencialidad, no dando difusión al contenido de las memorias técnicas recibidas. </w:t>
      </w:r>
    </w:p>
    <w:p w:rsidR="00C1118E" w:rsidRPr="000C115D" w:rsidRDefault="001C6F06" w:rsidP="00C1118E">
      <w:pPr>
        <w:pStyle w:val="Prrafodelista"/>
        <w:numPr>
          <w:ilvl w:val="0"/>
          <w:numId w:val="18"/>
        </w:numPr>
        <w:spacing w:after="240" w:line="240" w:lineRule="auto"/>
        <w:rPr>
          <w:lang w:val="es-AR"/>
        </w:rPr>
      </w:pPr>
      <w:r w:rsidRPr="007D29F9">
        <w:rPr>
          <w:sz w:val="23"/>
          <w:szCs w:val="23"/>
          <w:lang w:val="es-AR"/>
        </w:rPr>
        <w:t>Los ganadores aceptan la difusión de sus nombres, empresas y envases.</w:t>
      </w:r>
    </w:p>
    <w:sectPr w:rsidR="00C1118E" w:rsidRPr="000C115D" w:rsidSect="002B37DA">
      <w:headerReference w:type="even" r:id="rId9"/>
      <w:headerReference w:type="default" r:id="rId10"/>
      <w:footerReference w:type="default" r:id="rId11"/>
      <w:headerReference w:type="first" r:id="rId12"/>
      <w:pgSz w:w="11906" w:h="16838" w:code="9"/>
      <w:pgMar w:top="1418" w:right="1077" w:bottom="993" w:left="1077" w:header="567"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861" w:rsidRDefault="00191861" w:rsidP="00FA0B0A">
      <w:pPr>
        <w:spacing w:after="0" w:line="240" w:lineRule="auto"/>
      </w:pPr>
      <w:r>
        <w:separator/>
      </w:r>
    </w:p>
  </w:endnote>
  <w:endnote w:type="continuationSeparator" w:id="0">
    <w:p w:rsidR="00191861" w:rsidRDefault="00191861" w:rsidP="00FA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right" w:tblpYSpec="bottom"/>
      <w:tblW w:w="350" w:type="pct"/>
      <w:jc w:val="right"/>
      <w:shd w:val="clear" w:color="auto" w:fill="283481"/>
      <w:tblLayout w:type="fixed"/>
      <w:tblLook w:val="04A0" w:firstRow="1" w:lastRow="0" w:firstColumn="1" w:lastColumn="0" w:noHBand="0" w:noVBand="1"/>
    </w:tblPr>
    <w:tblGrid>
      <w:gridCol w:w="683"/>
    </w:tblGrid>
    <w:sdt>
      <w:sdtPr>
        <w:rPr>
          <w:b/>
          <w:bCs/>
          <w:color w:val="FFFFFF" w:themeColor="background1"/>
          <w:shd w:val="clear" w:color="auto" w:fill="1F4E79" w:themeFill="accent1" w:themeFillShade="80"/>
        </w:rPr>
        <w:id w:val="-2127462017"/>
        <w:docPartObj>
          <w:docPartGallery w:val="Page Numbers (Bottom of Page)"/>
          <w:docPartUnique/>
        </w:docPartObj>
      </w:sdtPr>
      <w:sdtEndPr>
        <w:rPr>
          <w:b w:val="0"/>
          <w:bCs w:val="0"/>
          <w:shd w:val="clear" w:color="auto" w:fill="auto"/>
        </w:rPr>
      </w:sdtEndPr>
      <w:sdtContent>
        <w:tr w:rsidR="00FA0B0A" w:rsidTr="00E4273C">
          <w:trPr>
            <w:trHeight w:val="727"/>
            <w:jc w:val="right"/>
          </w:trPr>
          <w:tc>
            <w:tcPr>
              <w:tcW w:w="5000" w:type="pct"/>
              <w:shd w:val="clear" w:color="auto" w:fill="283481"/>
            </w:tcPr>
            <w:p w:rsidR="00FA0B0A" w:rsidRPr="00FA0B0A" w:rsidRDefault="00FA0B0A" w:rsidP="00FA0B0A">
              <w:pPr>
                <w:tabs>
                  <w:tab w:val="left" w:pos="1490"/>
                </w:tabs>
                <w:spacing w:before="240"/>
                <w:jc w:val="center"/>
                <w:rPr>
                  <w:rFonts w:asciiTheme="majorHAnsi" w:eastAsiaTheme="majorEastAsia" w:hAnsiTheme="majorHAnsi" w:cstheme="majorBidi"/>
                  <w:color w:val="FFFFFF" w:themeColor="background1"/>
                  <w:sz w:val="28"/>
                  <w:szCs w:val="28"/>
                </w:rPr>
              </w:pPr>
              <w:r w:rsidRPr="00FA0B0A">
                <w:rPr>
                  <w:b/>
                  <w:bCs/>
                  <w:color w:val="FFFFFF" w:themeColor="background1"/>
                </w:rPr>
                <w:fldChar w:fldCharType="begin"/>
              </w:r>
              <w:r w:rsidRPr="00FA0B0A">
                <w:rPr>
                  <w:b/>
                  <w:bCs/>
                  <w:color w:val="FFFFFF" w:themeColor="background1"/>
                </w:rPr>
                <w:instrText>PAGE  \* Arabic  \* MERGEFORMAT</w:instrText>
              </w:r>
              <w:r w:rsidRPr="00FA0B0A">
                <w:rPr>
                  <w:b/>
                  <w:bCs/>
                  <w:color w:val="FFFFFF" w:themeColor="background1"/>
                </w:rPr>
                <w:fldChar w:fldCharType="separate"/>
              </w:r>
              <w:r w:rsidR="00352124" w:rsidRPr="00352124">
                <w:rPr>
                  <w:b/>
                  <w:bCs/>
                  <w:noProof/>
                  <w:color w:val="FFFFFF" w:themeColor="background1"/>
                  <w:lang w:val="es-ES"/>
                </w:rPr>
                <w:t>1</w:t>
              </w:r>
              <w:r w:rsidRPr="00FA0B0A">
                <w:rPr>
                  <w:b/>
                  <w:bCs/>
                  <w:color w:val="FFFFFF" w:themeColor="background1"/>
                </w:rPr>
                <w:fldChar w:fldCharType="end"/>
              </w:r>
              <w:r w:rsidRPr="00FA0B0A">
                <w:rPr>
                  <w:color w:val="FFFFFF" w:themeColor="background1"/>
                  <w:lang w:val="es-ES"/>
                </w:rPr>
                <w:t xml:space="preserve"> / </w:t>
              </w:r>
              <w:r w:rsidRPr="00FA0B0A">
                <w:rPr>
                  <w:b/>
                  <w:bCs/>
                  <w:color w:val="FFFFFF" w:themeColor="background1"/>
                </w:rPr>
                <w:fldChar w:fldCharType="begin"/>
              </w:r>
              <w:r w:rsidRPr="00FA0B0A">
                <w:rPr>
                  <w:b/>
                  <w:bCs/>
                  <w:color w:val="FFFFFF" w:themeColor="background1"/>
                </w:rPr>
                <w:instrText>NUMPAGES  \* Arabic  \* MERGEFORMAT</w:instrText>
              </w:r>
              <w:r w:rsidRPr="00FA0B0A">
                <w:rPr>
                  <w:b/>
                  <w:bCs/>
                  <w:color w:val="FFFFFF" w:themeColor="background1"/>
                </w:rPr>
                <w:fldChar w:fldCharType="separate"/>
              </w:r>
              <w:r w:rsidR="00352124" w:rsidRPr="00352124">
                <w:rPr>
                  <w:b/>
                  <w:bCs/>
                  <w:noProof/>
                  <w:color w:val="FFFFFF" w:themeColor="background1"/>
                  <w:lang w:val="es-ES"/>
                </w:rPr>
                <w:t>5</w:t>
              </w:r>
              <w:r w:rsidRPr="00FA0B0A">
                <w:rPr>
                  <w:b/>
                  <w:bCs/>
                  <w:color w:val="FFFFFF" w:themeColor="background1"/>
                </w:rPr>
                <w:fldChar w:fldCharType="end"/>
              </w:r>
            </w:p>
          </w:tc>
        </w:tr>
      </w:sdtContent>
    </w:sdt>
  </w:tbl>
  <w:p w:rsidR="00FA0B0A" w:rsidRDefault="00FA0B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861" w:rsidRDefault="00191861" w:rsidP="00FA0B0A">
      <w:pPr>
        <w:spacing w:after="0" w:line="240" w:lineRule="auto"/>
      </w:pPr>
      <w:r>
        <w:separator/>
      </w:r>
    </w:p>
  </w:footnote>
  <w:footnote w:type="continuationSeparator" w:id="0">
    <w:p w:rsidR="00191861" w:rsidRDefault="00191861" w:rsidP="00FA0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9E5" w:rsidRDefault="0019186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8157" o:spid="_x0000_s2054" type="#_x0000_t75" style="position:absolute;margin-left:0;margin-top:0;width:595.75pt;height:842pt;z-index:-251655168;mso-position-horizontal:center;mso-position-horizontal-relative:margin;mso-position-vertical:center;mso-position-vertical-relative:margin" o:allowincell="f">
          <v:imagedata r:id="rId1" o:title="bases y condiciones - 150dpi-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0A" w:rsidRDefault="002B37DA" w:rsidP="002B37DA">
    <w:pPr>
      <w:pStyle w:val="Encabezado"/>
    </w:pPr>
    <w:r>
      <w:rPr>
        <w:noProof/>
      </w:rPr>
      <w:drawing>
        <wp:anchor distT="0" distB="0" distL="114300" distR="114300" simplePos="0" relativeHeight="251663360" behindDoc="1" locked="0" layoutInCell="1" allowOverlap="1" wp14:anchorId="404A57BD" wp14:editId="7F14D38F">
          <wp:simplePos x="0" y="0"/>
          <wp:positionH relativeFrom="column">
            <wp:posOffset>0</wp:posOffset>
          </wp:positionH>
          <wp:positionV relativeFrom="paragraph">
            <wp:posOffset>34451</wp:posOffset>
          </wp:positionV>
          <wp:extent cx="2401200" cy="169200"/>
          <wp:effectExtent l="0" t="0" r="0" b="254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mio estrella del sur tx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1200" cy="169200"/>
                  </a:xfrm>
                  <a:prstGeom prst="rect">
                    <a:avLst/>
                  </a:prstGeom>
                </pic:spPr>
              </pic:pic>
            </a:graphicData>
          </a:graphic>
          <wp14:sizeRelH relativeFrom="margin">
            <wp14:pctWidth>0</wp14:pctWidth>
          </wp14:sizeRelH>
          <wp14:sizeRelV relativeFrom="margin">
            <wp14:pctHeight>0</wp14:pctHeight>
          </wp14:sizeRelV>
        </wp:anchor>
      </w:drawing>
    </w:r>
    <w:r w:rsidR="0019186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8158" o:spid="_x0000_s2055" type="#_x0000_t75" style="position:absolute;margin-left:0;margin-top:0;width:595.75pt;height:842pt;z-index:-251654144;mso-position-horizontal:center;mso-position-horizontal-relative:margin;mso-position-vertical:center;mso-position-vertical-relative:margin" o:allowincell="f">
          <v:imagedata r:id="rId2" o:title="bases y condiciones - 150dpi-02"/>
          <w10:wrap anchorx="margin" anchory="margin"/>
        </v:shape>
      </w:pict>
    </w:r>
    <w:r w:rsidR="00195E9B">
      <w:rPr>
        <w:noProof/>
      </w:rPr>
      <w:drawing>
        <wp:anchor distT="0" distB="0" distL="114300" distR="114300" simplePos="0" relativeHeight="251659264" behindDoc="1" locked="0" layoutInCell="1" allowOverlap="1" wp14:anchorId="69053C67" wp14:editId="08EB272B">
          <wp:simplePos x="0" y="0"/>
          <wp:positionH relativeFrom="column">
            <wp:posOffset>4749165</wp:posOffset>
          </wp:positionH>
          <wp:positionV relativeFrom="paragraph">
            <wp:posOffset>99800</wp:posOffset>
          </wp:positionV>
          <wp:extent cx="1443355" cy="89535"/>
          <wp:effectExtent l="0" t="0" r="4445" b="571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es y condiciones txt.png"/>
                  <pic:cNvPicPr/>
                </pic:nvPicPr>
                <pic:blipFill>
                  <a:blip r:embed="rId3">
                    <a:extLst>
                      <a:ext uri="{28A0092B-C50C-407E-A947-70E740481C1C}">
                        <a14:useLocalDpi xmlns:a14="http://schemas.microsoft.com/office/drawing/2010/main" val="0"/>
                      </a:ext>
                    </a:extLst>
                  </a:blip>
                  <a:stretch>
                    <a:fillRect/>
                  </a:stretch>
                </pic:blipFill>
                <pic:spPr>
                  <a:xfrm>
                    <a:off x="0" y="0"/>
                    <a:ext cx="1443355" cy="895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9E5" w:rsidRDefault="0019186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28156" o:spid="_x0000_s2053" type="#_x0000_t75" style="position:absolute;margin-left:0;margin-top:0;width:595.75pt;height:842pt;z-index:-251656192;mso-position-horizontal:center;mso-position-horizontal-relative:margin;mso-position-vertical:center;mso-position-vertical-relative:margin" o:allowincell="f">
          <v:imagedata r:id="rId1" o:title="bases y condiciones - 150dpi-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508"/>
    <w:multiLevelType w:val="hybridMultilevel"/>
    <w:tmpl w:val="BBF64F00"/>
    <w:lvl w:ilvl="0" w:tplc="2C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0641E"/>
    <w:multiLevelType w:val="hybridMultilevel"/>
    <w:tmpl w:val="2F286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27E9"/>
    <w:multiLevelType w:val="hybridMultilevel"/>
    <w:tmpl w:val="AC64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16F82"/>
    <w:multiLevelType w:val="hybridMultilevel"/>
    <w:tmpl w:val="A34C08C0"/>
    <w:lvl w:ilvl="0" w:tplc="168A1E50">
      <w:start w:val="1"/>
      <w:numFmt w:val="bullet"/>
      <w:lvlText w:val=""/>
      <w:lvlJc w:val="left"/>
      <w:pPr>
        <w:ind w:left="360" w:hanging="360"/>
      </w:pPr>
      <w:rPr>
        <w:rFonts w:ascii="Symbol" w:hAnsi="Symbol" w:hint="default"/>
        <w:color w:val="28348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10875"/>
    <w:multiLevelType w:val="hybridMultilevel"/>
    <w:tmpl w:val="021E8432"/>
    <w:lvl w:ilvl="0" w:tplc="A3D222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639BB"/>
    <w:multiLevelType w:val="hybridMultilevel"/>
    <w:tmpl w:val="E5440CF4"/>
    <w:lvl w:ilvl="0" w:tplc="70C25CF2">
      <w:start w:val="1"/>
      <w:numFmt w:val="bullet"/>
      <w:lvlText w:val=""/>
      <w:lvlJc w:val="left"/>
      <w:pPr>
        <w:ind w:left="360" w:hanging="360"/>
      </w:pPr>
      <w:rPr>
        <w:rFonts w:ascii="Symbol" w:hAnsi="Symbol" w:hint="default"/>
        <w:color w:val="283481"/>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6" w15:restartNumberingAfterBreak="0">
    <w:nsid w:val="157263A4"/>
    <w:multiLevelType w:val="hybridMultilevel"/>
    <w:tmpl w:val="F50C8D1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C754E0"/>
    <w:multiLevelType w:val="hybridMultilevel"/>
    <w:tmpl w:val="F50C8D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67F2"/>
    <w:multiLevelType w:val="hybridMultilevel"/>
    <w:tmpl w:val="67280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D2A43"/>
    <w:multiLevelType w:val="hybridMultilevel"/>
    <w:tmpl w:val="68E0DCB6"/>
    <w:lvl w:ilvl="0" w:tplc="B9F8DEC4">
      <w:start w:val="1"/>
      <w:numFmt w:val="bullet"/>
      <w:lvlText w:val=""/>
      <w:lvlJc w:val="left"/>
      <w:pPr>
        <w:ind w:left="360" w:hanging="360"/>
      </w:pPr>
      <w:rPr>
        <w:rFonts w:ascii="Symbol" w:hAnsi="Symbol" w:hint="default"/>
        <w:color w:val="1F4E79" w:themeColor="accent1"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4F6F7C"/>
    <w:multiLevelType w:val="hybridMultilevel"/>
    <w:tmpl w:val="B414FF66"/>
    <w:lvl w:ilvl="0" w:tplc="EE4A3F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268C5"/>
    <w:multiLevelType w:val="hybridMultilevel"/>
    <w:tmpl w:val="49CED7E0"/>
    <w:lvl w:ilvl="0" w:tplc="433EFB50">
      <w:start w:val="1"/>
      <w:numFmt w:val="bullet"/>
      <w:lvlText w:val=""/>
      <w:lvlJc w:val="left"/>
      <w:pPr>
        <w:ind w:left="360" w:hanging="360"/>
      </w:pPr>
      <w:rPr>
        <w:rFonts w:ascii="Symbol" w:hAnsi="Symbol" w:hint="default"/>
        <w:color w:val="1F4E79"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63FBD"/>
    <w:multiLevelType w:val="hybridMultilevel"/>
    <w:tmpl w:val="B356612E"/>
    <w:lvl w:ilvl="0" w:tplc="D9CE33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C4CEE"/>
    <w:multiLevelType w:val="hybridMultilevel"/>
    <w:tmpl w:val="CD642232"/>
    <w:lvl w:ilvl="0" w:tplc="433EFB50">
      <w:start w:val="1"/>
      <w:numFmt w:val="bullet"/>
      <w:lvlText w:val=""/>
      <w:lvlJc w:val="left"/>
      <w:pPr>
        <w:ind w:left="360" w:hanging="360"/>
      </w:pPr>
      <w:rPr>
        <w:rFonts w:ascii="Symbol" w:hAnsi="Symbol" w:hint="default"/>
        <w:color w:val="1F4E79"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92FDA"/>
    <w:multiLevelType w:val="hybridMultilevel"/>
    <w:tmpl w:val="E8DCC4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B94D0E"/>
    <w:multiLevelType w:val="hybridMultilevel"/>
    <w:tmpl w:val="B63CBA0C"/>
    <w:lvl w:ilvl="0" w:tplc="D9CE33A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2F427C"/>
    <w:multiLevelType w:val="hybridMultilevel"/>
    <w:tmpl w:val="B360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970E3"/>
    <w:multiLevelType w:val="hybridMultilevel"/>
    <w:tmpl w:val="70201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B3E9B"/>
    <w:multiLevelType w:val="hybridMultilevel"/>
    <w:tmpl w:val="095A3B9C"/>
    <w:lvl w:ilvl="0" w:tplc="CAE89A86">
      <w:start w:val="1"/>
      <w:numFmt w:val="bullet"/>
      <w:lvlText w:val=""/>
      <w:lvlJc w:val="left"/>
      <w:pPr>
        <w:ind w:left="720" w:hanging="360"/>
      </w:pPr>
      <w:rPr>
        <w:rFonts w:ascii="Symbol" w:hAnsi="Symbol" w:hint="default"/>
        <w:color w:val="1F4E79"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D1D4D"/>
    <w:multiLevelType w:val="hybridMultilevel"/>
    <w:tmpl w:val="B596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215E0"/>
    <w:multiLevelType w:val="hybridMultilevel"/>
    <w:tmpl w:val="492EC9DE"/>
    <w:lvl w:ilvl="0" w:tplc="7CFC3B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42F3D"/>
    <w:multiLevelType w:val="hybridMultilevel"/>
    <w:tmpl w:val="D670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5"/>
  </w:num>
  <w:num w:numId="4">
    <w:abstractNumId w:val="18"/>
  </w:num>
  <w:num w:numId="5">
    <w:abstractNumId w:val="4"/>
  </w:num>
  <w:num w:numId="6">
    <w:abstractNumId w:val="3"/>
  </w:num>
  <w:num w:numId="7">
    <w:abstractNumId w:val="7"/>
  </w:num>
  <w:num w:numId="8">
    <w:abstractNumId w:val="2"/>
  </w:num>
  <w:num w:numId="9">
    <w:abstractNumId w:val="12"/>
  </w:num>
  <w:num w:numId="10">
    <w:abstractNumId w:val="15"/>
  </w:num>
  <w:num w:numId="11">
    <w:abstractNumId w:val="9"/>
  </w:num>
  <w:num w:numId="12">
    <w:abstractNumId w:val="21"/>
  </w:num>
  <w:num w:numId="13">
    <w:abstractNumId w:val="17"/>
  </w:num>
  <w:num w:numId="14">
    <w:abstractNumId w:val="14"/>
  </w:num>
  <w:num w:numId="15">
    <w:abstractNumId w:val="19"/>
  </w:num>
  <w:num w:numId="16">
    <w:abstractNumId w:val="10"/>
  </w:num>
  <w:num w:numId="17">
    <w:abstractNumId w:val="13"/>
  </w:num>
  <w:num w:numId="18">
    <w:abstractNumId w:val="11"/>
  </w:num>
  <w:num w:numId="19">
    <w:abstractNumId w:val="8"/>
  </w:num>
  <w:num w:numId="20">
    <w:abstractNumId w:val="1"/>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ocumentProtection w:edit="readOnly" w:enforcement="1" w:cryptProviderType="rsaAES" w:cryptAlgorithmClass="hash" w:cryptAlgorithmType="typeAny" w:cryptAlgorithmSid="14" w:cryptSpinCount="100000" w:hash="DZFBVDG/Y7yTSp7wi+g6R4pirNTSpmJT3Ysp5MEk1dmvMpRGqaNJRlEwwtXcKJslpKs3r8vO+4bacbG+PZHASg==" w:salt="VAwDT1KIW5k2bwNCCgSCSw=="/>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06"/>
    <w:rsid w:val="00096294"/>
    <w:rsid w:val="000C115D"/>
    <w:rsid w:val="00107065"/>
    <w:rsid w:val="00187240"/>
    <w:rsid w:val="00191861"/>
    <w:rsid w:val="00195E9B"/>
    <w:rsid w:val="001C16A2"/>
    <w:rsid w:val="001C6F06"/>
    <w:rsid w:val="0025138E"/>
    <w:rsid w:val="002B21CA"/>
    <w:rsid w:val="002B37DA"/>
    <w:rsid w:val="00352124"/>
    <w:rsid w:val="003C6C02"/>
    <w:rsid w:val="00675BEF"/>
    <w:rsid w:val="00684A73"/>
    <w:rsid w:val="006D28DD"/>
    <w:rsid w:val="006F607E"/>
    <w:rsid w:val="0071456F"/>
    <w:rsid w:val="007D29F9"/>
    <w:rsid w:val="0080479F"/>
    <w:rsid w:val="00937B3B"/>
    <w:rsid w:val="00A11977"/>
    <w:rsid w:val="00A825DD"/>
    <w:rsid w:val="00B739E5"/>
    <w:rsid w:val="00C1118E"/>
    <w:rsid w:val="00C47DA4"/>
    <w:rsid w:val="00DE20DC"/>
    <w:rsid w:val="00E4273C"/>
    <w:rsid w:val="00E74140"/>
    <w:rsid w:val="00EA7854"/>
    <w:rsid w:val="00EB52D4"/>
    <w:rsid w:val="00F96F98"/>
    <w:rsid w:val="00FA0B0A"/>
    <w:rsid w:val="00FA5345"/>
    <w:rsid w:val="00FB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6D48670A-067D-44BA-9370-17119A94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C6F06"/>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3C6C02"/>
    <w:pPr>
      <w:ind w:left="720"/>
      <w:contextualSpacing/>
    </w:pPr>
  </w:style>
  <w:style w:type="table" w:styleId="Tablaconcuadrcula">
    <w:name w:val="Table Grid"/>
    <w:basedOn w:val="Tablanormal"/>
    <w:uiPriority w:val="39"/>
    <w:rsid w:val="007D2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A0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B0A"/>
  </w:style>
  <w:style w:type="paragraph" w:styleId="Piedepgina">
    <w:name w:val="footer"/>
    <w:basedOn w:val="Normal"/>
    <w:link w:val="PiedepginaCar"/>
    <w:uiPriority w:val="99"/>
    <w:unhideWhenUsed/>
    <w:rsid w:val="00FA0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B0A"/>
  </w:style>
  <w:style w:type="paragraph" w:styleId="Sinespaciado">
    <w:name w:val="No Spacing"/>
    <w:link w:val="SinespaciadoCar"/>
    <w:uiPriority w:val="1"/>
    <w:qFormat/>
    <w:rsid w:val="00A11977"/>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A1197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24A23-BF1B-42CC-8E5E-E77B868D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Pages>
  <Words>1527</Words>
  <Characters>8707</Characters>
  <Application>Microsoft Office Word</Application>
  <DocSecurity>8</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 M.</dc:creator>
  <cp:keywords/>
  <dc:description/>
  <cp:lastModifiedBy>Hogar</cp:lastModifiedBy>
  <cp:revision>22</cp:revision>
  <dcterms:created xsi:type="dcterms:W3CDTF">2022-10-14T13:39:00Z</dcterms:created>
  <dcterms:modified xsi:type="dcterms:W3CDTF">2022-10-19T14:52:00Z</dcterms:modified>
</cp:coreProperties>
</file>